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D86B8" w14:textId="77777777" w:rsidR="00F365CA" w:rsidRDefault="00F365CA" w:rsidP="00F365CA">
      <w:pPr>
        <w:shd w:val="clear" w:color="auto" w:fill="FFFEFB"/>
        <w:tabs>
          <w:tab w:val="left" w:pos="4544"/>
        </w:tabs>
        <w:spacing w:after="0" w:line="240" w:lineRule="auto"/>
        <w:ind w:right="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DOCUMENTO FNOMCeO - SIAARTI</w:t>
      </w:r>
    </w:p>
    <w:p w14:paraId="4AA6361B" w14:textId="77777777" w:rsidR="00F365CA" w:rsidRDefault="00F365CA" w:rsidP="00CE7B34">
      <w:pPr>
        <w:shd w:val="clear" w:color="auto" w:fill="FFFEFB"/>
        <w:tabs>
          <w:tab w:val="left" w:pos="4544"/>
        </w:tabs>
        <w:spacing w:after="0" w:line="240" w:lineRule="auto"/>
        <w:ind w:right="36"/>
        <w:rPr>
          <w:rFonts w:ascii="Times New Roman" w:hAnsi="Times New Roman"/>
          <w:b/>
          <w:bCs/>
          <w:sz w:val="24"/>
          <w:szCs w:val="24"/>
        </w:rPr>
      </w:pPr>
    </w:p>
    <w:p w14:paraId="65768DE9" w14:textId="77777777" w:rsidR="00F365CA" w:rsidRDefault="00F365CA" w:rsidP="00CE7B34">
      <w:pPr>
        <w:shd w:val="clear" w:color="auto" w:fill="FFFEFB"/>
        <w:tabs>
          <w:tab w:val="left" w:pos="4544"/>
        </w:tabs>
        <w:spacing w:after="0" w:line="240" w:lineRule="auto"/>
        <w:ind w:right="36"/>
        <w:rPr>
          <w:rFonts w:ascii="Times New Roman" w:hAnsi="Times New Roman"/>
          <w:b/>
          <w:bCs/>
          <w:sz w:val="24"/>
          <w:szCs w:val="24"/>
        </w:rPr>
      </w:pPr>
    </w:p>
    <w:p w14:paraId="102F1743" w14:textId="77777777" w:rsidR="00F365CA" w:rsidRDefault="00F365CA" w:rsidP="00CE7B34">
      <w:pPr>
        <w:shd w:val="clear" w:color="auto" w:fill="FFFEFB"/>
        <w:tabs>
          <w:tab w:val="left" w:pos="4544"/>
        </w:tabs>
        <w:spacing w:after="0" w:line="240" w:lineRule="auto"/>
        <w:ind w:right="36"/>
        <w:rPr>
          <w:rFonts w:ascii="Times New Roman" w:hAnsi="Times New Roman"/>
          <w:b/>
          <w:bCs/>
          <w:sz w:val="24"/>
          <w:szCs w:val="24"/>
        </w:rPr>
      </w:pPr>
    </w:p>
    <w:p w14:paraId="799C233A" w14:textId="77777777" w:rsidR="00F365CA" w:rsidRDefault="00F365CA" w:rsidP="00CE7B34">
      <w:pPr>
        <w:shd w:val="clear" w:color="auto" w:fill="FFFEFB"/>
        <w:tabs>
          <w:tab w:val="left" w:pos="4544"/>
        </w:tabs>
        <w:spacing w:after="0" w:line="240" w:lineRule="auto"/>
        <w:ind w:right="36"/>
        <w:rPr>
          <w:rFonts w:ascii="Times New Roman" w:hAnsi="Times New Roman"/>
          <w:b/>
          <w:bCs/>
          <w:sz w:val="24"/>
          <w:szCs w:val="24"/>
        </w:rPr>
      </w:pPr>
    </w:p>
    <w:p w14:paraId="7600699E" w14:textId="77777777" w:rsidR="00CE7B34" w:rsidRPr="00F365CA" w:rsidRDefault="00CE7B34" w:rsidP="00F365CA">
      <w:pPr>
        <w:shd w:val="clear" w:color="auto" w:fill="FFFEFB"/>
        <w:tabs>
          <w:tab w:val="left" w:pos="4544"/>
        </w:tabs>
        <w:spacing w:after="0" w:line="240" w:lineRule="auto"/>
        <w:ind w:right="36"/>
        <w:jc w:val="both"/>
        <w:rPr>
          <w:rFonts w:ascii="Times New Roman" w:hAnsi="Times New Roman"/>
          <w:b/>
          <w:bCs/>
          <w:sz w:val="24"/>
          <w:szCs w:val="24"/>
        </w:rPr>
      </w:pPr>
      <w:r w:rsidRPr="00F365CA">
        <w:rPr>
          <w:rFonts w:ascii="Times New Roman" w:hAnsi="Times New Roman"/>
          <w:b/>
          <w:bCs/>
          <w:sz w:val="24"/>
          <w:szCs w:val="24"/>
        </w:rPr>
        <w:t xml:space="preserve">PREMESSA </w:t>
      </w:r>
    </w:p>
    <w:p w14:paraId="08E0D4DA" w14:textId="77777777" w:rsidR="00CE7B34" w:rsidRPr="00F365CA" w:rsidRDefault="00CE7B34" w:rsidP="00F365CA">
      <w:pPr>
        <w:shd w:val="clear" w:color="auto" w:fill="FFFEFB"/>
        <w:tabs>
          <w:tab w:val="left" w:pos="4544"/>
        </w:tabs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F365CA">
        <w:rPr>
          <w:rFonts w:ascii="Times New Roman" w:hAnsi="Times New Roman"/>
          <w:sz w:val="24"/>
          <w:szCs w:val="24"/>
        </w:rPr>
        <w:t xml:space="preserve">Il 6 marzo 2020, </w:t>
      </w:r>
      <w:smartTag w:uri="urn:schemas-microsoft-com:office:smarttags" w:element="PersonName">
        <w:smartTagPr>
          <w:attr w:name="ProductID" w:val="la Societ￠ Italiana"/>
        </w:smartTagPr>
        <w:r w:rsidRPr="00F365CA">
          <w:rPr>
            <w:rFonts w:ascii="Times New Roman" w:hAnsi="Times New Roman"/>
            <w:sz w:val="24"/>
            <w:szCs w:val="24"/>
          </w:rPr>
          <w:t>la Società Italiana</w:t>
        </w:r>
      </w:smartTag>
      <w:r w:rsidRPr="00F365CA">
        <w:rPr>
          <w:rFonts w:ascii="Times New Roman" w:hAnsi="Times New Roman"/>
          <w:sz w:val="24"/>
          <w:szCs w:val="24"/>
        </w:rPr>
        <w:t xml:space="preserve"> di Anestesia, Analgesia, Rianimazione e Terapia Intensiva (SIAARTI) ha pubblicato un documento di raccomandazioni (Raccomandazioni di Etica Clinica per l’Ammissione a Trattamenti Intensivi e per la loro Sospensione, in Condizioni Eccezionali di Squilibrio tra Necessità e Risorse Disponibili – SIAARTI</w:t>
      </w:r>
      <w:r w:rsidRPr="00F365CA"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 w:rsidRPr="00F365CA">
        <w:rPr>
          <w:rFonts w:ascii="Times New Roman" w:hAnsi="Times New Roman"/>
          <w:sz w:val="24"/>
          <w:szCs w:val="24"/>
        </w:rPr>
        <w:t>) per supportare i clinici coinvolti nella cura dei pazienti affetti da CoViD-19.</w:t>
      </w:r>
    </w:p>
    <w:p w14:paraId="34526BD0" w14:textId="77777777" w:rsidR="00CE7B34" w:rsidRPr="00F365CA" w:rsidRDefault="00CE7B34" w:rsidP="00F365C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65CA">
        <w:rPr>
          <w:rFonts w:ascii="Times New Roman" w:hAnsi="Times New Roman"/>
          <w:sz w:val="24"/>
          <w:szCs w:val="24"/>
        </w:rPr>
        <w:t xml:space="preserve">La crescita incontrollabile della domanda di assistenza intensiva ha generato a sua volta una sproporzione fra richiesta di cura e capacità di risposta del sistema in termini di risorse umane, tecnologiche e di posti-letto (PL) disponibili sia nelle Terapie Intensive (TI) sia al di fuori di esse. </w:t>
      </w:r>
    </w:p>
    <w:p w14:paraId="58FEE261" w14:textId="77777777" w:rsidR="00CE7B34" w:rsidRPr="00F365CA" w:rsidRDefault="00CE7B34" w:rsidP="00F365CA">
      <w:pPr>
        <w:shd w:val="clear" w:color="auto" w:fill="FFFEFB"/>
        <w:tabs>
          <w:tab w:val="left" w:pos="4544"/>
        </w:tabs>
        <w:spacing w:after="0" w:line="240" w:lineRule="auto"/>
        <w:ind w:right="34"/>
        <w:jc w:val="both"/>
        <w:rPr>
          <w:rFonts w:ascii="Times New Roman" w:hAnsi="Times New Roman"/>
          <w:b/>
          <w:sz w:val="24"/>
          <w:szCs w:val="24"/>
        </w:rPr>
      </w:pPr>
      <w:r w:rsidRPr="00F365CA">
        <w:rPr>
          <w:rFonts w:ascii="Times New Roman" w:hAnsi="Times New Roman"/>
          <w:sz w:val="24"/>
          <w:szCs w:val="24"/>
        </w:rPr>
        <w:t xml:space="preserve">L’estrema rilevanza del tema delle scelte terapeutiche in caso di situazioni straordinarie ed eccezionali come quella legata alla pandemia SARS-COV2 a causa delle implicazioni deontologico-professionali ha indotto </w:t>
      </w:r>
      <w:smartTag w:uri="urn:schemas-microsoft-com:office:smarttags" w:element="PersonName">
        <w:smartTagPr>
          <w:attr w:name="ProductID" w:val="la FNOMCeO"/>
        </w:smartTagPr>
        <w:r w:rsidRPr="00F365CA">
          <w:rPr>
            <w:rFonts w:ascii="Times New Roman" w:hAnsi="Times New Roman"/>
            <w:sz w:val="24"/>
            <w:szCs w:val="24"/>
          </w:rPr>
          <w:t>la FNOMCeO</w:t>
        </w:r>
      </w:smartTag>
      <w:r w:rsidRPr="00F365CA">
        <w:rPr>
          <w:rFonts w:ascii="Times New Roman" w:hAnsi="Times New Roman"/>
          <w:sz w:val="24"/>
          <w:szCs w:val="24"/>
        </w:rPr>
        <w:t xml:space="preserve"> a istituire un gruppo di lavoro con la SIAARTI</w:t>
      </w:r>
      <w:r w:rsidRPr="00F365CA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  <w:r w:rsidRPr="00F365CA">
        <w:rPr>
          <w:rFonts w:ascii="Times New Roman" w:hAnsi="Times New Roman"/>
          <w:sz w:val="24"/>
          <w:szCs w:val="24"/>
        </w:rPr>
        <w:t xml:space="preserve"> con l’obiettivo di avviare congiuntamente una riflessione riportando in modo condiviso il ragionamento entro l’alveo della deontologia medica e a valutare l’opportunità di prevedere eventuali modifiche del Codice di Deontologia Medica. </w:t>
      </w:r>
    </w:p>
    <w:p w14:paraId="453F7895" w14:textId="77777777" w:rsidR="00CE7B34" w:rsidRPr="00F365CA" w:rsidRDefault="00CE7B34" w:rsidP="00F365CA">
      <w:pPr>
        <w:shd w:val="clear" w:color="auto" w:fill="FFFEFB"/>
        <w:tabs>
          <w:tab w:val="left" w:pos="4544"/>
        </w:tabs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</w:p>
    <w:p w14:paraId="2F01C1B3" w14:textId="77777777" w:rsidR="00CE7B34" w:rsidRPr="00F365CA" w:rsidRDefault="00CE7B34" w:rsidP="00F365CA">
      <w:pPr>
        <w:shd w:val="clear" w:color="auto" w:fill="FFFEFB"/>
        <w:tabs>
          <w:tab w:val="left" w:pos="4544"/>
        </w:tabs>
        <w:spacing w:after="0" w:line="240" w:lineRule="auto"/>
        <w:ind w:right="3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70B422" w14:textId="77777777" w:rsidR="00CE7B34" w:rsidRPr="00F365CA" w:rsidRDefault="00CE7B34" w:rsidP="00F365CA">
      <w:pPr>
        <w:shd w:val="clear" w:color="auto" w:fill="FFFEFB"/>
        <w:tabs>
          <w:tab w:val="left" w:pos="4544"/>
        </w:tabs>
        <w:spacing w:after="0" w:line="240" w:lineRule="auto"/>
        <w:ind w:right="36"/>
        <w:jc w:val="both"/>
        <w:rPr>
          <w:rFonts w:ascii="Times New Roman" w:hAnsi="Times New Roman"/>
          <w:b/>
          <w:bCs/>
          <w:sz w:val="24"/>
          <w:szCs w:val="24"/>
        </w:rPr>
      </w:pPr>
      <w:r w:rsidRPr="00F365CA">
        <w:rPr>
          <w:rFonts w:ascii="Times New Roman" w:hAnsi="Times New Roman"/>
          <w:b/>
          <w:bCs/>
          <w:sz w:val="24"/>
          <w:szCs w:val="24"/>
        </w:rPr>
        <w:t>LA COMMISSIONE PARITETICA</w:t>
      </w:r>
    </w:p>
    <w:p w14:paraId="0BBB80D4" w14:textId="77777777" w:rsidR="00CE7B34" w:rsidRPr="00F365CA" w:rsidRDefault="00CE7B34" w:rsidP="00F365CA">
      <w:pPr>
        <w:shd w:val="clear" w:color="auto" w:fill="FFFEFB"/>
        <w:tabs>
          <w:tab w:val="left" w:pos="4544"/>
        </w:tabs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la FNOMCeO"/>
        </w:smartTagPr>
        <w:r w:rsidRPr="00F365CA">
          <w:rPr>
            <w:rFonts w:ascii="Times New Roman" w:hAnsi="Times New Roman"/>
            <w:sz w:val="24"/>
            <w:szCs w:val="24"/>
          </w:rPr>
          <w:t>La FNOMCeO</w:t>
        </w:r>
      </w:smartTag>
      <w:r w:rsidRPr="00F365CA">
        <w:rPr>
          <w:rFonts w:ascii="Times New Roman" w:hAnsi="Times New Roman"/>
          <w:sz w:val="24"/>
          <w:szCs w:val="24"/>
        </w:rPr>
        <w:t xml:space="preserve"> rappresentata dal Presidente Filippo Anelli ha dato mandato di avviare una commissione di lavoro paritetica FNOMCeO-SIAARTI in accordo co</w:t>
      </w:r>
      <w:r w:rsidR="00F365CA">
        <w:rPr>
          <w:rFonts w:ascii="Times New Roman" w:hAnsi="Times New Roman"/>
          <w:sz w:val="24"/>
          <w:szCs w:val="24"/>
        </w:rPr>
        <w:t>n i</w:t>
      </w:r>
      <w:r w:rsidRPr="00F365CA">
        <w:rPr>
          <w:rFonts w:ascii="Times New Roman" w:hAnsi="Times New Roman"/>
          <w:sz w:val="24"/>
          <w:szCs w:val="24"/>
        </w:rPr>
        <w:t xml:space="preserve"> vertici societari</w:t>
      </w:r>
      <w:r w:rsidRPr="00F365CA">
        <w:rPr>
          <w:rFonts w:ascii="Times New Roman" w:hAnsi="Times New Roman"/>
          <w:sz w:val="24"/>
          <w:szCs w:val="24"/>
          <w:vertAlign w:val="superscript"/>
        </w:rPr>
        <w:t>1</w:t>
      </w:r>
      <w:r w:rsidRPr="00F365CA">
        <w:rPr>
          <w:rFonts w:ascii="Times New Roman" w:hAnsi="Times New Roman"/>
          <w:sz w:val="24"/>
          <w:szCs w:val="24"/>
        </w:rPr>
        <w:t>.</w:t>
      </w:r>
    </w:p>
    <w:p w14:paraId="3349FDE3" w14:textId="77777777" w:rsidR="00CE7B34" w:rsidRPr="00F365CA" w:rsidRDefault="00CE7B34" w:rsidP="00F365CA">
      <w:pPr>
        <w:shd w:val="clear" w:color="auto" w:fill="FFFEFB"/>
        <w:tabs>
          <w:tab w:val="left" w:pos="4544"/>
        </w:tabs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F365CA">
        <w:rPr>
          <w:rFonts w:ascii="Times New Roman" w:hAnsi="Times New Roman"/>
          <w:sz w:val="24"/>
          <w:szCs w:val="24"/>
        </w:rPr>
        <w:t>Questa risulta così composta:</w:t>
      </w:r>
    </w:p>
    <w:p w14:paraId="389DC222" w14:textId="77777777" w:rsidR="00CE7B34" w:rsidRPr="00F365CA" w:rsidRDefault="00CE7B34" w:rsidP="00F365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2D75EF" w14:textId="77777777" w:rsidR="00CE7B34" w:rsidRPr="00F365CA" w:rsidRDefault="00CE7B34" w:rsidP="00F36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CA">
        <w:rPr>
          <w:rFonts w:ascii="Times New Roman" w:hAnsi="Times New Roman"/>
          <w:b/>
          <w:bCs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FNOMCeO"/>
        </w:smartTagPr>
        <w:r w:rsidRPr="00F365CA">
          <w:rPr>
            <w:rFonts w:ascii="Times New Roman" w:hAnsi="Times New Roman"/>
            <w:b/>
            <w:bCs/>
            <w:sz w:val="24"/>
            <w:szCs w:val="24"/>
          </w:rPr>
          <w:t>la FNOMCeO</w:t>
        </w:r>
      </w:smartTag>
      <w:r w:rsidRPr="00F365CA">
        <w:rPr>
          <w:rFonts w:ascii="Times New Roman" w:hAnsi="Times New Roman"/>
          <w:sz w:val="24"/>
          <w:szCs w:val="24"/>
        </w:rPr>
        <w:t xml:space="preserve"> da: Claudio Buccelli, Gianfranco Iadecola, Marco Ioppi (Componenti C</w:t>
      </w:r>
      <w:r w:rsidR="00360EF8">
        <w:rPr>
          <w:rFonts w:ascii="Times New Roman" w:hAnsi="Times New Roman"/>
          <w:sz w:val="24"/>
          <w:szCs w:val="24"/>
        </w:rPr>
        <w:t>DN</w:t>
      </w:r>
      <w:r w:rsidRPr="00F365CA">
        <w:rPr>
          <w:rFonts w:ascii="Times New Roman" w:hAnsi="Times New Roman"/>
          <w:sz w:val="24"/>
          <w:szCs w:val="24"/>
        </w:rPr>
        <w:t>), Guido Marinoni Componente Comitato Centrale), Roberto Monaco (Segretario</w:t>
      </w:r>
      <w:r w:rsidR="00360E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5CA">
        <w:rPr>
          <w:rFonts w:ascii="Times New Roman" w:hAnsi="Times New Roman"/>
          <w:sz w:val="24"/>
          <w:szCs w:val="24"/>
        </w:rPr>
        <w:t>FNOMCeO</w:t>
      </w:r>
      <w:proofErr w:type="spellEnd"/>
      <w:r w:rsidRPr="00F365CA">
        <w:rPr>
          <w:rFonts w:ascii="Times New Roman" w:hAnsi="Times New Roman"/>
          <w:sz w:val="24"/>
          <w:szCs w:val="24"/>
        </w:rPr>
        <w:t xml:space="preserve">), Pierantonio Muzzetto (Coordinatore </w:t>
      </w:r>
      <w:r w:rsidR="00360EF8">
        <w:rPr>
          <w:rFonts w:ascii="Times New Roman" w:hAnsi="Times New Roman"/>
          <w:sz w:val="24"/>
          <w:szCs w:val="24"/>
        </w:rPr>
        <w:t>CDN</w:t>
      </w:r>
      <w:r w:rsidRPr="00F365CA">
        <w:rPr>
          <w:rFonts w:ascii="Times New Roman" w:hAnsi="Times New Roman"/>
          <w:sz w:val="24"/>
          <w:szCs w:val="24"/>
        </w:rPr>
        <w:t xml:space="preserve">); </w:t>
      </w:r>
    </w:p>
    <w:p w14:paraId="577D6D9E" w14:textId="77777777" w:rsidR="00953ABB" w:rsidRPr="00953ABB" w:rsidRDefault="00953ABB" w:rsidP="00953A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53AB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per la SIAARTI</w:t>
      </w:r>
      <w:r w:rsidRPr="00953ABB">
        <w:rPr>
          <w:rFonts w:ascii="Times New Roman" w:eastAsia="Times New Roman" w:hAnsi="Times New Roman"/>
          <w:sz w:val="24"/>
          <w:szCs w:val="24"/>
          <w:lang w:eastAsia="it-IT"/>
        </w:rPr>
        <w:t xml:space="preserve"> da: Alberto Giannini (componente Comitato Etico SIAARTI), Giuseppe </w:t>
      </w:r>
      <w:proofErr w:type="spellStart"/>
      <w:r w:rsidRPr="00953ABB">
        <w:rPr>
          <w:rFonts w:ascii="Times New Roman" w:eastAsia="Times New Roman" w:hAnsi="Times New Roman"/>
          <w:sz w:val="24"/>
          <w:szCs w:val="24"/>
          <w:lang w:eastAsia="it-IT"/>
        </w:rPr>
        <w:t>Gristina</w:t>
      </w:r>
      <w:proofErr w:type="spellEnd"/>
      <w:r w:rsidRPr="00953ABB">
        <w:rPr>
          <w:rFonts w:ascii="Times New Roman" w:eastAsia="Times New Roman" w:hAnsi="Times New Roman"/>
          <w:sz w:val="24"/>
          <w:szCs w:val="24"/>
          <w:lang w:eastAsia="it-IT"/>
        </w:rPr>
        <w:t xml:space="preserve"> (componente Comitato etico SIAARTI), Davide </w:t>
      </w:r>
      <w:proofErr w:type="spellStart"/>
      <w:r w:rsidRPr="00953ABB">
        <w:rPr>
          <w:rFonts w:ascii="Times New Roman" w:eastAsia="Times New Roman" w:hAnsi="Times New Roman"/>
          <w:sz w:val="24"/>
          <w:szCs w:val="24"/>
          <w:lang w:eastAsia="it-IT"/>
        </w:rPr>
        <w:t>Mazzon</w:t>
      </w:r>
      <w:proofErr w:type="spellEnd"/>
      <w:r w:rsidRPr="00953ABB">
        <w:rPr>
          <w:rFonts w:ascii="Times New Roman" w:eastAsia="Times New Roman" w:hAnsi="Times New Roman"/>
          <w:sz w:val="24"/>
          <w:szCs w:val="24"/>
          <w:lang w:eastAsia="it-IT"/>
        </w:rPr>
        <w:t xml:space="preserve"> (componente Comitato Etico SIAARTI), Luigi Riccioni (Responsabile del Comitato etico SIAARTI), Marco Vergano (Coordinatore Gruppo di Studio di Bioetica SIAARTI).</w:t>
      </w:r>
    </w:p>
    <w:p w14:paraId="3EAF7222" w14:textId="77777777" w:rsidR="00CE7B34" w:rsidRPr="00953ABB" w:rsidRDefault="00CE7B34" w:rsidP="00F36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A5AEA" w14:textId="77777777" w:rsidR="00F365CA" w:rsidRDefault="00F365CA" w:rsidP="00F365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3EB7AB" w14:textId="77777777" w:rsidR="00CE7B34" w:rsidRPr="00F365CA" w:rsidRDefault="00CE7B34" w:rsidP="00F365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65CA">
        <w:rPr>
          <w:rFonts w:ascii="Times New Roman" w:hAnsi="Times New Roman"/>
          <w:b/>
          <w:bCs/>
          <w:sz w:val="24"/>
          <w:szCs w:val="24"/>
        </w:rPr>
        <w:t>MANDATO</w:t>
      </w:r>
    </w:p>
    <w:p w14:paraId="6C191447" w14:textId="77777777" w:rsidR="00CE7B34" w:rsidRPr="00F365CA" w:rsidRDefault="00CE7B34" w:rsidP="00F36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CA">
        <w:rPr>
          <w:rFonts w:ascii="Times New Roman" w:hAnsi="Times New Roman"/>
          <w:sz w:val="24"/>
          <w:szCs w:val="24"/>
        </w:rPr>
        <w:t>Avviare una riflessione in senso deontologico sulle posizioni espresse dalla SIAARTI e valutare quegl</w:t>
      </w:r>
      <w:r w:rsidR="00737DDD">
        <w:rPr>
          <w:rFonts w:ascii="Times New Roman" w:hAnsi="Times New Roman"/>
          <w:sz w:val="24"/>
          <w:szCs w:val="24"/>
        </w:rPr>
        <w:t>i aspetti che possano portare a</w:t>
      </w:r>
      <w:r w:rsidRPr="00F365CA">
        <w:rPr>
          <w:rFonts w:ascii="Times New Roman" w:hAnsi="Times New Roman"/>
          <w:sz w:val="24"/>
          <w:szCs w:val="24"/>
        </w:rPr>
        <w:t xml:space="preserve"> una modifica/integrazione del Codice deontologico sul tema delle scelte tragiche in occasione di episodi straordinari ed eccezionali, come nella situazione legata alla pandemia SARS-COV2, attraverso un documento che ne condivida gli aspetti generali che sarà utilizzato dalla Consulta Deontologica </w:t>
      </w:r>
      <w:r w:rsidR="00360EF8">
        <w:rPr>
          <w:rFonts w:ascii="Times New Roman" w:hAnsi="Times New Roman"/>
          <w:sz w:val="24"/>
          <w:szCs w:val="24"/>
        </w:rPr>
        <w:t xml:space="preserve">Nazionale </w:t>
      </w:r>
      <w:r w:rsidRPr="00F365CA">
        <w:rPr>
          <w:rFonts w:ascii="Times New Roman" w:hAnsi="Times New Roman"/>
          <w:sz w:val="24"/>
          <w:szCs w:val="24"/>
        </w:rPr>
        <w:t>(C</w:t>
      </w:r>
      <w:r w:rsidR="00360EF8">
        <w:rPr>
          <w:rFonts w:ascii="Times New Roman" w:hAnsi="Times New Roman"/>
          <w:sz w:val="24"/>
          <w:szCs w:val="24"/>
        </w:rPr>
        <w:t>DN</w:t>
      </w:r>
      <w:r w:rsidRPr="00F365CA">
        <w:rPr>
          <w:rFonts w:ascii="Times New Roman" w:hAnsi="Times New Roman"/>
          <w:sz w:val="24"/>
          <w:szCs w:val="24"/>
        </w:rPr>
        <w:t xml:space="preserve">) della </w:t>
      </w:r>
      <w:proofErr w:type="spellStart"/>
      <w:r w:rsidRPr="00F365CA">
        <w:rPr>
          <w:rFonts w:ascii="Times New Roman" w:hAnsi="Times New Roman"/>
          <w:sz w:val="24"/>
          <w:szCs w:val="24"/>
        </w:rPr>
        <w:t>FNOMCeO</w:t>
      </w:r>
      <w:proofErr w:type="spellEnd"/>
      <w:r w:rsidRPr="00F365CA">
        <w:rPr>
          <w:rFonts w:ascii="Times New Roman" w:hAnsi="Times New Roman"/>
          <w:sz w:val="24"/>
          <w:szCs w:val="24"/>
        </w:rPr>
        <w:t xml:space="preserve"> da un punto di vista codicistico.</w:t>
      </w:r>
    </w:p>
    <w:p w14:paraId="192BDCFC" w14:textId="77777777" w:rsidR="00CE7B34" w:rsidRPr="00F365CA" w:rsidRDefault="00CE7B34" w:rsidP="00F365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C96652" w14:textId="77777777" w:rsidR="00F365CA" w:rsidRDefault="00F365CA" w:rsidP="00F365CA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3672929" w14:textId="77777777" w:rsidR="00C159CA" w:rsidRDefault="00C159CA" w:rsidP="00F365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A2EDC6" w14:textId="77777777" w:rsidR="003B5817" w:rsidRPr="003B5817" w:rsidRDefault="003B5817" w:rsidP="00F365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88A3A3" w14:textId="77777777" w:rsidR="003B5817" w:rsidRDefault="003B5817" w:rsidP="00F365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FA94D5" w14:textId="77777777" w:rsidR="00CE7B34" w:rsidRPr="00F365CA" w:rsidRDefault="00CE7B34" w:rsidP="00F365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65CA">
        <w:rPr>
          <w:rFonts w:ascii="Times New Roman" w:hAnsi="Times New Roman"/>
          <w:b/>
          <w:bCs/>
          <w:sz w:val="24"/>
          <w:szCs w:val="24"/>
        </w:rPr>
        <w:t>PRINCIPI E OBIETTIVI SPECIFICI</w:t>
      </w:r>
    </w:p>
    <w:p w14:paraId="5C2C8984" w14:textId="77777777" w:rsidR="00CE7B34" w:rsidRPr="00F365CA" w:rsidRDefault="00CE7B34" w:rsidP="00F36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5CA">
        <w:rPr>
          <w:rFonts w:ascii="Times New Roman" w:hAnsi="Times New Roman"/>
          <w:sz w:val="24"/>
          <w:szCs w:val="24"/>
        </w:rPr>
        <w:t xml:space="preserve">Sono trattati di seguito principi (generali, etici e professionali), obiettivi ed aspetti specifici inerenti non solo alla pandemia da SARS-COV-2 ma anche ad ogni altra eventuale maxi-emergenza che possa comportare </w:t>
      </w:r>
      <w:bookmarkStart w:id="0" w:name="_Hlk45876634"/>
      <w:bookmarkStart w:id="1" w:name="_Hlk45872981"/>
      <w:r w:rsidRPr="00F365CA">
        <w:rPr>
          <w:rFonts w:ascii="Times New Roman" w:hAnsi="Times New Roman"/>
          <w:sz w:val="24"/>
          <w:szCs w:val="24"/>
        </w:rPr>
        <w:t>condizioni eccezionali di squilibrio tra necessità e risorse disponibili.</w:t>
      </w:r>
      <w:bookmarkEnd w:id="0"/>
      <w:bookmarkEnd w:id="1"/>
    </w:p>
    <w:p w14:paraId="33A47A80" w14:textId="77777777" w:rsidR="00CE7B34" w:rsidRDefault="00CE7B34" w:rsidP="00F36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C4968" w14:textId="77777777" w:rsidR="00F365CA" w:rsidRPr="00F365CA" w:rsidRDefault="00F365CA" w:rsidP="00F36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98EA82" w14:textId="77777777" w:rsidR="00CE7B34" w:rsidRPr="00F365CA" w:rsidRDefault="00CE7B34" w:rsidP="00F365CA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65CA">
        <w:rPr>
          <w:rFonts w:ascii="Times New Roman" w:hAnsi="Times New Roman"/>
          <w:b/>
          <w:bCs/>
          <w:sz w:val="24"/>
          <w:szCs w:val="24"/>
        </w:rPr>
        <w:t>Principi generali</w:t>
      </w:r>
    </w:p>
    <w:p w14:paraId="69693AE4" w14:textId="77777777" w:rsidR="00CE7B34" w:rsidRPr="00F365CA" w:rsidRDefault="00CE7B34" w:rsidP="00F365C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65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65CA">
        <w:rPr>
          <w:rFonts w:ascii="Times New Roman" w:hAnsi="Times New Roman"/>
          <w:sz w:val="24"/>
          <w:szCs w:val="24"/>
        </w:rPr>
        <w:t>La pandemia da SARS-COV-</w:t>
      </w:r>
      <w:smartTag w:uri="urn:schemas-microsoft-com:office:smarttags" w:element="metricconverter">
        <w:smartTagPr>
          <w:attr w:name="ProductID" w:val="2 ha"/>
        </w:smartTagPr>
        <w:r w:rsidRPr="00F365CA">
          <w:rPr>
            <w:rFonts w:ascii="Times New Roman" w:hAnsi="Times New Roman"/>
            <w:sz w:val="24"/>
            <w:szCs w:val="24"/>
          </w:rPr>
          <w:t>2 ha</w:t>
        </w:r>
      </w:smartTag>
      <w:r w:rsidRPr="00F365CA">
        <w:rPr>
          <w:rFonts w:ascii="Times New Roman" w:hAnsi="Times New Roman"/>
          <w:sz w:val="24"/>
          <w:szCs w:val="24"/>
        </w:rPr>
        <w:t xml:space="preserve"> portato a un costante aumento del numero di pazienti con necessità di un supporto vitale respiratorio prolungato per insufficienza respiratoria acuta da polmonite interstiziale. </w:t>
      </w:r>
    </w:p>
    <w:p w14:paraId="0505297A" w14:textId="77777777" w:rsidR="00CE7B34" w:rsidRPr="00F365CA" w:rsidRDefault="00CE7B34" w:rsidP="00F365C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65CA">
        <w:rPr>
          <w:rFonts w:ascii="Times New Roman" w:hAnsi="Times New Roman"/>
          <w:sz w:val="24"/>
          <w:szCs w:val="24"/>
        </w:rPr>
        <w:t xml:space="preserve">Infatti, nonostante le misure adottate per garantire a chiunque un trattamento adeguato (aumento massimale di tutte le risorse intensive e creazione di reti per il trasferimento inter-ospedaliero di pazienti), nelle aree più colpite si è reso necessario procedere a una allocazione delle risorse attraverso criteri di triage basati sul principio etico di giustizia distributiva.   </w:t>
      </w:r>
    </w:p>
    <w:p w14:paraId="3214EF55" w14:textId="77777777" w:rsidR="00CE7B34" w:rsidRDefault="00CE7B34" w:rsidP="00F365C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2E6AB1" w14:textId="77777777" w:rsidR="00F365CA" w:rsidRPr="00F365CA" w:rsidRDefault="00F365CA" w:rsidP="00F365C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7BFE7D5" w14:textId="77777777" w:rsidR="00CE7B34" w:rsidRPr="00F365CA" w:rsidRDefault="00CE7B34" w:rsidP="00F365CA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65CA">
        <w:rPr>
          <w:rFonts w:ascii="Times New Roman" w:hAnsi="Times New Roman"/>
          <w:b/>
          <w:bCs/>
          <w:sz w:val="24"/>
          <w:szCs w:val="24"/>
        </w:rPr>
        <w:t>Principi etici e professionali</w:t>
      </w:r>
    </w:p>
    <w:p w14:paraId="782DC6EB" w14:textId="77777777" w:rsidR="00CE7B34" w:rsidRPr="00F365CA" w:rsidRDefault="00CE7B34" w:rsidP="00F365C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65CA">
        <w:rPr>
          <w:rFonts w:ascii="Times New Roman" w:hAnsi="Times New Roman"/>
          <w:sz w:val="24"/>
          <w:szCs w:val="24"/>
        </w:rPr>
        <w:t>I criteri d’accesso ai trattamenti intensivi e sub-intensivi che si basano prioritariamente su principi di appropriatezza clinica e proporzionalità delle cure verso il singolo paziente, devono</w:t>
      </w:r>
      <w:r w:rsidR="00737DDD">
        <w:rPr>
          <w:rFonts w:ascii="Times New Roman" w:hAnsi="Times New Roman"/>
          <w:sz w:val="24"/>
          <w:szCs w:val="24"/>
        </w:rPr>
        <w:t xml:space="preserve"> rispondere anche ad</w:t>
      </w:r>
      <w:r w:rsidRPr="00F365CA">
        <w:rPr>
          <w:rFonts w:ascii="Times New Roman" w:hAnsi="Times New Roman"/>
          <w:sz w:val="24"/>
          <w:szCs w:val="24"/>
        </w:rPr>
        <w:t xml:space="preserve"> esigenze di giustizia distributiva e di equa allocazione delle risorse sanitarie disponibili.</w:t>
      </w:r>
    </w:p>
    <w:p w14:paraId="0F351ED5" w14:textId="77777777" w:rsidR="00CE7B34" w:rsidRPr="00F365CA" w:rsidRDefault="00CE7B34" w:rsidP="00F365C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65CA">
        <w:rPr>
          <w:rFonts w:ascii="Times New Roman" w:hAnsi="Times New Roman"/>
          <w:color w:val="000000"/>
          <w:sz w:val="24"/>
          <w:szCs w:val="24"/>
        </w:rPr>
        <w:t>L’accesso alle cure, indipendentemente dalle risorse e dalla garanzia dell’appropriatezza clinica, deve fondarsi sul ragionamento che è alla base del giudizio clinico, sulla proporzionalità e sulla adeguatezza delle cure secondo il CD</w:t>
      </w:r>
      <w:r w:rsidRPr="00F365CA">
        <w:rPr>
          <w:rStyle w:val="Rimandonotaapidipagina"/>
          <w:rFonts w:ascii="Times New Roman" w:hAnsi="Times New Roman"/>
          <w:color w:val="000000"/>
          <w:sz w:val="24"/>
          <w:szCs w:val="24"/>
        </w:rPr>
        <w:footnoteReference w:id="3"/>
      </w:r>
      <w:r w:rsidRPr="00F365CA">
        <w:rPr>
          <w:rFonts w:ascii="Times New Roman" w:hAnsi="Times New Roman"/>
          <w:color w:val="000000"/>
          <w:sz w:val="24"/>
          <w:szCs w:val="24"/>
        </w:rPr>
        <w:t xml:space="preserve">, in relazione al bilancio </w:t>
      </w:r>
      <w:r w:rsidR="003B5817">
        <w:rPr>
          <w:rFonts w:ascii="Times New Roman" w:hAnsi="Times New Roman"/>
          <w:color w:val="000000"/>
          <w:sz w:val="24"/>
          <w:szCs w:val="24"/>
        </w:rPr>
        <w:t>fra costi/</w:t>
      </w:r>
      <w:r w:rsidRPr="00F365CA">
        <w:rPr>
          <w:rFonts w:ascii="Times New Roman" w:hAnsi="Times New Roman"/>
          <w:color w:val="000000"/>
          <w:sz w:val="24"/>
          <w:szCs w:val="24"/>
        </w:rPr>
        <w:t>benefici di ogni pratica clinica, commisurata agli esiti prevedibili di salute.</w:t>
      </w:r>
    </w:p>
    <w:p w14:paraId="03EC95CB" w14:textId="77777777" w:rsidR="00CE7B34" w:rsidRDefault="00CE7B34" w:rsidP="00F365C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3B3A01" w14:textId="77777777" w:rsidR="00F365CA" w:rsidRPr="00F365CA" w:rsidRDefault="00F365CA" w:rsidP="00F365C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2D071D" w14:textId="77777777" w:rsidR="00CE7B34" w:rsidRPr="00F365CA" w:rsidRDefault="00CE7B34" w:rsidP="00F365CA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65CA">
        <w:rPr>
          <w:rFonts w:ascii="Times New Roman" w:hAnsi="Times New Roman"/>
          <w:b/>
          <w:bCs/>
          <w:sz w:val="24"/>
          <w:szCs w:val="24"/>
        </w:rPr>
        <w:t>Obiettivi specifici</w:t>
      </w:r>
    </w:p>
    <w:p w14:paraId="5F76B9B3" w14:textId="77777777" w:rsidR="00CE7B34" w:rsidRPr="00F365CA" w:rsidRDefault="00CE7B34" w:rsidP="00F365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65CA">
        <w:rPr>
          <w:rFonts w:ascii="Times New Roman" w:hAnsi="Times New Roman"/>
          <w:color w:val="000000"/>
          <w:sz w:val="24"/>
          <w:szCs w:val="24"/>
        </w:rPr>
        <w:t xml:space="preserve">I comportamenti dell’anestesista-rianimatore, così come di ogni altro medico coinvolto in decisioni cliniche in </w:t>
      </w:r>
      <w:r w:rsidRPr="00F365CA">
        <w:rPr>
          <w:rFonts w:ascii="Times New Roman" w:hAnsi="Times New Roman"/>
          <w:sz w:val="24"/>
          <w:szCs w:val="24"/>
        </w:rPr>
        <w:t xml:space="preserve">condizioni eccezionali di squilibrio tra necessità e risorse disponibili, devono essere coerenti </w:t>
      </w:r>
      <w:r w:rsidRPr="00F365CA">
        <w:rPr>
          <w:rFonts w:ascii="Times New Roman" w:hAnsi="Times New Roman"/>
          <w:color w:val="000000"/>
          <w:sz w:val="24"/>
          <w:szCs w:val="24"/>
        </w:rPr>
        <w:t>con i principi etici e le regole deontologiche della professione medica. Ciò comporta l’individuazione dei parametri clinico-strumentali e dei contesti personali di riferimento per un ponderato giudiz</w:t>
      </w:r>
      <w:r w:rsidR="00737DDD">
        <w:rPr>
          <w:rFonts w:ascii="Times New Roman" w:hAnsi="Times New Roman"/>
          <w:color w:val="000000"/>
          <w:sz w:val="24"/>
          <w:szCs w:val="24"/>
        </w:rPr>
        <w:t>io clinico e</w:t>
      </w:r>
      <w:r w:rsidRPr="00F365CA">
        <w:rPr>
          <w:rFonts w:ascii="Times New Roman" w:hAnsi="Times New Roman"/>
          <w:color w:val="000000"/>
          <w:sz w:val="24"/>
          <w:szCs w:val="24"/>
        </w:rPr>
        <w:t xml:space="preserve"> i suoi conseguenti sviluppi operativi; ogni decisione è formulabile caso per caso, con criteri rispettosi dei diritti e della dignità delle persone. </w:t>
      </w:r>
    </w:p>
    <w:p w14:paraId="68BF03E2" w14:textId="77777777" w:rsidR="00CE7B34" w:rsidRPr="00F365CA" w:rsidRDefault="00CE7B34" w:rsidP="00F365C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304D89C" w14:textId="77777777" w:rsidR="00CE7B34" w:rsidRPr="00F365CA" w:rsidRDefault="00CE7B34" w:rsidP="00F365C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F6948A" w14:textId="77777777" w:rsidR="00CE7B34" w:rsidRPr="00F365CA" w:rsidRDefault="00CE7B34" w:rsidP="00DB5FE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65CA">
        <w:rPr>
          <w:rFonts w:ascii="Times New Roman" w:hAnsi="Times New Roman"/>
          <w:b/>
          <w:bCs/>
          <w:color w:val="000000"/>
          <w:sz w:val="24"/>
          <w:szCs w:val="24"/>
        </w:rPr>
        <w:t>c.1</w:t>
      </w:r>
      <w:r w:rsidRPr="00F365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5CA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F365CA">
        <w:rPr>
          <w:rFonts w:ascii="Times New Roman" w:hAnsi="Times New Roman"/>
          <w:b/>
          <w:bCs/>
          <w:color w:val="000000"/>
          <w:sz w:val="24"/>
          <w:szCs w:val="24"/>
        </w:rPr>
        <w:t>Equità e uguaglianza nelle cure</w:t>
      </w:r>
    </w:p>
    <w:p w14:paraId="6DAD50FE" w14:textId="77777777" w:rsidR="00CE7B34" w:rsidRDefault="00CE7B34" w:rsidP="00DB5FE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65CA">
        <w:rPr>
          <w:rFonts w:ascii="Times New Roman" w:hAnsi="Times New Roman"/>
          <w:color w:val="000000"/>
          <w:sz w:val="24"/>
          <w:szCs w:val="24"/>
        </w:rPr>
        <w:t>Principi fondamentali di ogni approccio clinico sono l’eguaglianza tra le persone e l’equità di accesso ai trattamenti, con costante attenzione ad evitare che le decisioni e i comportamenti dei clinici possano portare a conflitti insanabili tra posizioni tecnico-professionali, principi etici e regole deontologiche</w:t>
      </w:r>
      <w:r w:rsidRPr="00F365CA">
        <w:rPr>
          <w:rStyle w:val="Rimandonotaapidipagina"/>
          <w:rFonts w:ascii="Times New Roman" w:hAnsi="Times New Roman"/>
          <w:color w:val="000000"/>
          <w:sz w:val="24"/>
          <w:szCs w:val="24"/>
        </w:rPr>
        <w:footnoteReference w:id="4"/>
      </w:r>
      <w:r w:rsidRPr="00F365CA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2D090F8B" w14:textId="77777777" w:rsidR="00F365CA" w:rsidRPr="00F365CA" w:rsidRDefault="00F365CA" w:rsidP="00DB5FE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A6174B" w14:textId="77777777" w:rsidR="00CE7B34" w:rsidRPr="00F365CA" w:rsidRDefault="00CE7B34" w:rsidP="00DB5FE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D8833F" w14:textId="77777777" w:rsidR="00CE7B34" w:rsidRPr="00F365CA" w:rsidRDefault="00CE7B34" w:rsidP="00DB5FE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65CA">
        <w:rPr>
          <w:rFonts w:ascii="Times New Roman" w:hAnsi="Times New Roman"/>
          <w:b/>
          <w:bCs/>
          <w:color w:val="000000"/>
          <w:sz w:val="24"/>
          <w:szCs w:val="24"/>
        </w:rPr>
        <w:t xml:space="preserve">c.2 </w:t>
      </w:r>
      <w:r w:rsidR="00F365C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Pr="00F365CA">
        <w:rPr>
          <w:rFonts w:ascii="Times New Roman" w:hAnsi="Times New Roman"/>
          <w:b/>
          <w:bCs/>
          <w:color w:val="000000"/>
          <w:sz w:val="24"/>
          <w:szCs w:val="24"/>
        </w:rPr>
        <w:t>Responsabilità</w:t>
      </w:r>
      <w:r w:rsidRPr="00F365CA">
        <w:rPr>
          <w:rStyle w:val="Rimandonotaapidipagina"/>
          <w:rFonts w:ascii="Times New Roman" w:hAnsi="Times New Roman"/>
          <w:b/>
          <w:bCs/>
          <w:color w:val="000000"/>
          <w:sz w:val="24"/>
          <w:szCs w:val="24"/>
        </w:rPr>
        <w:footnoteReference w:id="5"/>
      </w:r>
    </w:p>
    <w:p w14:paraId="5A2FCA0C" w14:textId="77777777" w:rsidR="00CE7B34" w:rsidRDefault="00CE7B34" w:rsidP="00DB5FE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65CA">
        <w:rPr>
          <w:rFonts w:ascii="Times New Roman" w:hAnsi="Times New Roman"/>
          <w:color w:val="000000"/>
          <w:sz w:val="24"/>
          <w:szCs w:val="24"/>
        </w:rPr>
        <w:t>Il medico assume la responsabilità dell’informazione al paziente che avviene secondo i principi stabiliti dal CD.</w:t>
      </w:r>
    </w:p>
    <w:p w14:paraId="7667171B" w14:textId="77777777" w:rsidR="00F365CA" w:rsidRDefault="00F365CA" w:rsidP="00F365C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EE6476" w14:textId="77777777" w:rsidR="003B5817" w:rsidRPr="00F365CA" w:rsidRDefault="003B5817" w:rsidP="00F365C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90F43C" w14:textId="77777777" w:rsidR="00CE7B34" w:rsidRPr="00F365CA" w:rsidRDefault="00F365CA" w:rsidP="00F365CA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d-        </w:t>
      </w:r>
      <w:r w:rsidR="00CE7B34" w:rsidRPr="00F365CA">
        <w:rPr>
          <w:rFonts w:ascii="Times New Roman" w:hAnsi="Times New Roman"/>
          <w:b/>
          <w:bCs/>
          <w:color w:val="000000"/>
          <w:sz w:val="24"/>
          <w:szCs w:val="24"/>
        </w:rPr>
        <w:t>Aspetti specifici in fase di carenza di risorse</w:t>
      </w:r>
    </w:p>
    <w:p w14:paraId="5AF674E4" w14:textId="77777777" w:rsidR="00F365CA" w:rsidRDefault="00F365CA" w:rsidP="00F365CA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3BEF3987" w14:textId="77777777" w:rsidR="00CE7B34" w:rsidRPr="00F365CA" w:rsidRDefault="00CE7B34" w:rsidP="00DB5FE3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F365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d.1 </w:t>
      </w:r>
      <w:r w:rsidR="00F365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   </w:t>
      </w:r>
      <w:r w:rsidRPr="00F365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Aspetti considerati in stato di assoluta necessità emergenziale </w:t>
      </w:r>
    </w:p>
    <w:p w14:paraId="637EBCB1" w14:textId="77777777" w:rsidR="00CE7B34" w:rsidRPr="00F365CA" w:rsidRDefault="00CE7B34" w:rsidP="00DB5F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Nelle situazioni emergenziali il medico finalizza l’uso ottimale delle risorse alla salvaguardia della sicurezza, dell’efficacia e dell’umanizzazione delle cure evitando ogni discriminazione.  Il medico deve altresì espletare ogni azione possibile per ottenere le necessarie risorse aggiuntive soprattutto in relazione ai trattamenti intensivi e sub intensivi. Nel caso in cui lo squilibrio </w:t>
      </w:r>
      <w:r w:rsidRPr="00F365CA">
        <w:rPr>
          <w:rFonts w:ascii="Times New Roman" w:hAnsi="Times New Roman"/>
          <w:sz w:val="24"/>
          <w:szCs w:val="24"/>
        </w:rPr>
        <w:t xml:space="preserve">tra necessità e risorse disponibili persista, è data precedenza per </w:t>
      </w: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l’accesso ai trattamenti intensivi a chi potrà ottenere grazie ad essi un concreto, accettabile e duraturo beneficio. </w:t>
      </w:r>
      <w:bookmarkStart w:id="2" w:name="_Hlk45874964"/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 tale fine </w:t>
      </w:r>
      <w:r w:rsidRPr="00F365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si applicano</w:t>
      </w: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F365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criteri rigorosi, espliciti, concorrenti e integrati, valutati sempre caso per caso</w:t>
      </w:r>
      <w:bookmarkEnd w:id="2"/>
      <w:r w:rsidRPr="00F365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, quali:</w:t>
      </w: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la gravità del quadro clinico, le comorbilità,</w:t>
      </w:r>
      <w:r w:rsidR="00737DD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lo stato funzionale pregresso,</w:t>
      </w: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l’impatto sulla persona dei potenziali effetti collaterali delle cure intensive, la conoscenza di espressioni di volontà precedenti nonché la stessa età biologica, la quale non può mai assumere carattere prevalente.</w:t>
      </w:r>
    </w:p>
    <w:p w14:paraId="1019CB8A" w14:textId="77777777" w:rsidR="00F365CA" w:rsidRDefault="00F365CA" w:rsidP="00DB5F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48A21C90" w14:textId="77777777" w:rsidR="003B5817" w:rsidRPr="00F365CA" w:rsidRDefault="003B5817" w:rsidP="00DB5F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0E2E9955" w14:textId="77777777" w:rsidR="00CE7B34" w:rsidRPr="00F365CA" w:rsidRDefault="00CE7B34" w:rsidP="00DB5FE3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F365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d.2 </w:t>
      </w:r>
      <w:r w:rsidR="00F365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    </w:t>
      </w:r>
      <w:r w:rsidRPr="00F365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Pazienti non eleggibili alla TI</w:t>
      </w:r>
    </w:p>
    <w:p w14:paraId="2CBCFD44" w14:textId="77777777" w:rsidR="00CE7B34" w:rsidRPr="00F365CA" w:rsidRDefault="00CE7B34" w:rsidP="00DB5FE3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Coloro che non sono trattabili in modo intensivo, ovvero non sono eleggibili ad un trattamento intensivo a causa dell’i</w:t>
      </w:r>
      <w:r w:rsidR="00E27F1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mprobabilità d’</w:t>
      </w: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ottenere concreti, accettabili e duraturi benefici clinici, sono comunque presi in carico prestando loro le cure appropriate e proporzionate di cui vi sia disponibilità</w:t>
      </w:r>
      <w:r w:rsidRPr="00F365CA">
        <w:rPr>
          <w:rStyle w:val="Rimandonotaapidipagina"/>
          <w:rFonts w:ascii="Times New Roman" w:eastAsia="Times New Roman" w:hAnsi="Times New Roman"/>
          <w:color w:val="000000"/>
          <w:sz w:val="24"/>
          <w:szCs w:val="24"/>
          <w:lang w:eastAsia="it-IT"/>
        </w:rPr>
        <w:footnoteReference w:id="6"/>
      </w: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 </w:t>
      </w:r>
    </w:p>
    <w:p w14:paraId="694CD3B2" w14:textId="77777777" w:rsidR="00CE7B34" w:rsidRPr="00F365CA" w:rsidRDefault="00CE7B34" w:rsidP="00DB5FE3">
      <w:pPr>
        <w:pStyle w:val="Paragrafoelenco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43624422" w14:textId="77777777" w:rsidR="00CE7B34" w:rsidRPr="00F365CA" w:rsidRDefault="00CE7B34" w:rsidP="00DB5FE3">
      <w:pPr>
        <w:pStyle w:val="Paragrafoelenco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2BDC987B" w14:textId="77777777" w:rsidR="00CE7B34" w:rsidRPr="00F365CA" w:rsidRDefault="00CE7B34" w:rsidP="00DB5FE3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F365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d.3</w:t>
      </w: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   </w:t>
      </w:r>
      <w:r w:rsidRPr="00F365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Criteri di selezione di cura e i diritti d’accesso</w:t>
      </w:r>
    </w:p>
    <w:p w14:paraId="48D26F24" w14:textId="77777777" w:rsidR="00CE7B34" w:rsidRPr="00F365CA" w:rsidRDefault="00CE7B34" w:rsidP="00DB5FE3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F365CA">
        <w:rPr>
          <w:rFonts w:ascii="Times New Roman" w:eastAsia="Times New Roman" w:hAnsi="Times New Roman"/>
          <w:sz w:val="24"/>
          <w:szCs w:val="24"/>
          <w:lang w:eastAsia="it-IT"/>
        </w:rPr>
        <w:t>Il diritto individuale all’eguale accesso alle cure sanitarie deve rimanere il cardine della protezione che lo Stato è tenuto a fornire e che i Medici hanno il dovere di garantire quale principio deontologico indissolubile</w:t>
      </w:r>
      <w:r w:rsidRPr="00F365CA">
        <w:rPr>
          <w:rStyle w:val="Rimandonotaapidipagina"/>
          <w:rFonts w:ascii="Times New Roman" w:eastAsia="Times New Roman" w:hAnsi="Times New Roman"/>
          <w:sz w:val="24"/>
          <w:szCs w:val="24"/>
          <w:lang w:eastAsia="it-IT"/>
        </w:rPr>
        <w:footnoteReference w:id="7"/>
      </w:r>
      <w:r w:rsidRPr="00F365CA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Il ricorso selettivo a criteri che valgano a legittimare differenziate modalità di cura è da considerarsi esclusivamente in stato di assoluta necessità (emergenza/urgenza indifferibile</w:t>
      </w:r>
      <w:r w:rsidRPr="00F365CA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Pr="00F365CA">
        <w:rPr>
          <w:rFonts w:ascii="Times New Roman" w:hAnsi="Times New Roman"/>
          <w:sz w:val="24"/>
          <w:szCs w:val="24"/>
        </w:rPr>
        <w:t>condizioni eccezionali di squilibrio tra necessità e risorse disponibili</w:t>
      </w: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).</w:t>
      </w:r>
    </w:p>
    <w:p w14:paraId="4BFE845B" w14:textId="77777777" w:rsidR="00CE7B34" w:rsidRPr="00F365CA" w:rsidRDefault="00CE7B34" w:rsidP="00DB5FE3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Il ricorso a tali criteri non può essere inteso come il diniego del principio non negoziabile dell’uguaglianza di valori di ogni essere umano. </w:t>
      </w:r>
    </w:p>
    <w:p w14:paraId="7E286D73" w14:textId="77777777" w:rsidR="00CE7B34" w:rsidRDefault="00CE7B34" w:rsidP="00DB5FE3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Sono garantiti quali criteri di scelta sotto il profilo deontologico e professionale</w:t>
      </w:r>
      <w:r w:rsidRPr="00F365CA">
        <w:rPr>
          <w:rStyle w:val="Rimandonotaapidipagina"/>
          <w:rFonts w:ascii="Times New Roman" w:eastAsia="Times New Roman" w:hAnsi="Times New Roman"/>
          <w:color w:val="000000"/>
          <w:sz w:val="24"/>
          <w:szCs w:val="24"/>
          <w:lang w:eastAsia="it-IT"/>
        </w:rPr>
        <w:footnoteReference w:id="8"/>
      </w: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 il rispetto, la tutela della dignità e della salute della persona, la proporzionalità e l’adeguatezza delle cure, l’equità d’accesso, il criterio di beneficialità, l’età e/o le altre situazioni di vulnerabilità. Tali criteri di scelta non possono essere utilizzati separatamente.</w:t>
      </w:r>
    </w:p>
    <w:p w14:paraId="6FFBBF2C" w14:textId="77777777" w:rsidR="00CE7B34" w:rsidRPr="00F365CA" w:rsidRDefault="00CE7B34" w:rsidP="00DB5FE3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27E1F87E" w14:textId="77777777" w:rsidR="00CE7B34" w:rsidRPr="00F365CA" w:rsidRDefault="00CE7B34" w:rsidP="00DB5FE3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365CA">
        <w:rPr>
          <w:rFonts w:ascii="Times New Roman" w:hAnsi="Times New Roman"/>
          <w:b/>
          <w:bCs/>
          <w:color w:val="000000"/>
          <w:sz w:val="24"/>
          <w:szCs w:val="24"/>
        </w:rPr>
        <w:t xml:space="preserve">d.4 </w:t>
      </w:r>
      <w:r w:rsidR="00F365C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F365CA">
        <w:rPr>
          <w:rFonts w:ascii="Times New Roman" w:hAnsi="Times New Roman"/>
          <w:b/>
          <w:bCs/>
          <w:color w:val="000000"/>
          <w:sz w:val="24"/>
          <w:szCs w:val="24"/>
        </w:rPr>
        <w:t>La posizione del medico di fronte al consenso, dichiarazioni anticipate di trattamento e pianificazione condivisa delle cure</w:t>
      </w:r>
    </w:p>
    <w:p w14:paraId="2306B6D8" w14:textId="77777777" w:rsidR="00CE7B34" w:rsidRPr="00F365CA" w:rsidRDefault="00CE7B34" w:rsidP="00DB5FE3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65CA">
        <w:rPr>
          <w:rFonts w:ascii="Times New Roman" w:hAnsi="Times New Roman"/>
          <w:color w:val="000000"/>
          <w:sz w:val="24"/>
          <w:szCs w:val="24"/>
        </w:rPr>
        <w:t>Il medico esprime la sua posizione di garanzia sostanziale nei confronti del paziente a lui affidato e della società; svolge un’attività al contempo di tutela del paziente e di unico interlocutore di ogni situazione oggettiva</w:t>
      </w:r>
      <w:r w:rsidR="00701453">
        <w:rPr>
          <w:rStyle w:val="Rimandonotaapidipagina"/>
          <w:rFonts w:ascii="Times New Roman" w:hAnsi="Times New Roman"/>
          <w:color w:val="000000"/>
          <w:sz w:val="24"/>
          <w:szCs w:val="24"/>
        </w:rPr>
        <w:footnoteReference w:id="9"/>
      </w:r>
      <w:r w:rsidRPr="00F365CA">
        <w:rPr>
          <w:rFonts w:ascii="Times New Roman" w:hAnsi="Times New Roman"/>
          <w:color w:val="000000"/>
          <w:sz w:val="24"/>
          <w:szCs w:val="24"/>
        </w:rPr>
        <w:t xml:space="preserve">, con integrazione delle altre discipline mediche e con la collaborazione degli altri componenti della equipe sanitaria coinvolti nel percorso clinico-assistenziale quando opportuno, </w:t>
      </w:r>
      <w:r w:rsidRPr="00D35D7A">
        <w:rPr>
          <w:rFonts w:ascii="Times New Roman" w:hAnsi="Times New Roman"/>
          <w:color w:val="000000"/>
          <w:sz w:val="24"/>
          <w:szCs w:val="24"/>
        </w:rPr>
        <w:t>facendo prevalere sempre il criterio del miglior interesse del paziente,</w:t>
      </w:r>
      <w:r w:rsidRPr="00F365CA">
        <w:rPr>
          <w:rFonts w:ascii="Times New Roman" w:hAnsi="Times New Roman"/>
          <w:color w:val="000000"/>
          <w:sz w:val="24"/>
          <w:szCs w:val="24"/>
        </w:rPr>
        <w:t xml:space="preserve"> nel caso in cui questi non sia in grado di esprimere un valido consenso. </w:t>
      </w:r>
    </w:p>
    <w:p w14:paraId="53A1315E" w14:textId="77777777" w:rsidR="00D35D7A" w:rsidRPr="00F365CA" w:rsidRDefault="00D35D7A" w:rsidP="00F365CA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EFC620" w14:textId="77777777" w:rsidR="00CE7B34" w:rsidRPr="00F365CA" w:rsidRDefault="00CE7B34" w:rsidP="00DB5FE3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65C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d.5 </w:t>
      </w:r>
      <w:r w:rsidR="00D35D7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Pr="00F365CA">
        <w:rPr>
          <w:rFonts w:ascii="Times New Roman" w:hAnsi="Times New Roman"/>
          <w:b/>
          <w:bCs/>
          <w:color w:val="000000"/>
          <w:sz w:val="24"/>
          <w:szCs w:val="24"/>
        </w:rPr>
        <w:t>Il concetto di consenso</w:t>
      </w:r>
      <w:r w:rsidRPr="00F365CA">
        <w:rPr>
          <w:rStyle w:val="Rimandonotaapidipagina"/>
          <w:rFonts w:ascii="Times New Roman" w:hAnsi="Times New Roman"/>
          <w:b/>
          <w:bCs/>
          <w:color w:val="000000"/>
          <w:sz w:val="24"/>
          <w:szCs w:val="24"/>
        </w:rPr>
        <w:footnoteReference w:id="10"/>
      </w:r>
      <w:r w:rsidRPr="00F365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E90B7CE" w14:textId="77777777" w:rsidR="00CE7B34" w:rsidRDefault="00CE7B34" w:rsidP="00DB5FE3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65CA">
        <w:rPr>
          <w:rFonts w:ascii="Times New Roman" w:hAnsi="Times New Roman"/>
          <w:color w:val="000000"/>
          <w:sz w:val="24"/>
          <w:szCs w:val="24"/>
        </w:rPr>
        <w:t>Trattandosi di rapporto diretto fra medico e paziente, l’assunzione del consenso in situazioni d’assoluta necessità per cure estreme ed eccezionali, esprime soprattutto una “scelta condivisa” con il paziente in base alla norma codicistica e legislativa</w:t>
      </w:r>
      <w:r w:rsidRPr="00DB5FE3">
        <w:rPr>
          <w:rStyle w:val="Rimandonotaapidipagina"/>
          <w:rFonts w:ascii="Times New Roman" w:hAnsi="Times New Roman"/>
          <w:color w:val="000000"/>
          <w:sz w:val="24"/>
          <w:szCs w:val="24"/>
        </w:rPr>
        <w:footnoteReference w:id="11"/>
      </w:r>
      <w:r w:rsidRPr="00F365C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365CA">
        <w:rPr>
          <w:rFonts w:ascii="Times New Roman" w:hAnsi="Times New Roman"/>
          <w:color w:val="000000"/>
          <w:sz w:val="24"/>
          <w:szCs w:val="24"/>
        </w:rPr>
        <w:t>in relazione all’autodeterminazione; in caso di paziente incapace di esprimere un consenso, le scelte sono condivise col rappresentante legale o attuate a seguito di Dichiarazioni Anticipate di Trattamento (DAT) o Pianificazione Condivisa delle Cure (PCC)</w:t>
      </w:r>
      <w:r w:rsidR="00C113DD">
        <w:rPr>
          <w:rStyle w:val="Rimandonotaapidipagina"/>
          <w:rFonts w:ascii="Times New Roman" w:hAnsi="Times New Roman"/>
          <w:color w:val="000000"/>
          <w:sz w:val="24"/>
          <w:szCs w:val="24"/>
        </w:rPr>
        <w:footnoteReference w:id="12"/>
      </w:r>
      <w:r w:rsidRPr="00F365CA">
        <w:rPr>
          <w:rFonts w:ascii="Times New Roman" w:hAnsi="Times New Roman"/>
          <w:color w:val="000000"/>
          <w:sz w:val="24"/>
          <w:szCs w:val="24"/>
        </w:rPr>
        <w:t>. Il coinvolgimento del familiare è nell’ambito di una corretta comunicazione, salvo espressa delega del paziente</w:t>
      </w:r>
      <w:r w:rsidRPr="00F365CA">
        <w:rPr>
          <w:rStyle w:val="Rimandonotaapidipagina"/>
          <w:rFonts w:ascii="Times New Roman" w:hAnsi="Times New Roman"/>
          <w:color w:val="000000"/>
          <w:sz w:val="24"/>
          <w:szCs w:val="24"/>
        </w:rPr>
        <w:footnoteReference w:id="13"/>
      </w:r>
      <w:r w:rsidRPr="00F365CA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00E82F2F" w14:textId="77777777" w:rsidR="00D35D7A" w:rsidRPr="00F365CA" w:rsidRDefault="00D35D7A" w:rsidP="00DB5FE3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66CD47" w14:textId="77777777" w:rsidR="00CE7B34" w:rsidRPr="00F365CA" w:rsidRDefault="00CE7B34" w:rsidP="00F365CA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DE0745" w14:textId="77777777" w:rsidR="00CE7B34" w:rsidRPr="00F365CA" w:rsidRDefault="00CE7B34" w:rsidP="00DB5FE3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65CA">
        <w:rPr>
          <w:rFonts w:ascii="Times New Roman" w:hAnsi="Times New Roman"/>
          <w:b/>
          <w:bCs/>
          <w:color w:val="000000"/>
          <w:sz w:val="24"/>
          <w:szCs w:val="24"/>
        </w:rPr>
        <w:t xml:space="preserve"> Decisione del medico e comunicazione</w:t>
      </w:r>
      <w:r w:rsidRPr="00F365CA">
        <w:rPr>
          <w:rStyle w:val="Rimandonotaapidipagina"/>
          <w:rFonts w:ascii="Times New Roman" w:hAnsi="Times New Roman"/>
          <w:b/>
          <w:bCs/>
          <w:color w:val="000000"/>
          <w:sz w:val="24"/>
          <w:szCs w:val="24"/>
        </w:rPr>
        <w:footnoteReference w:id="14"/>
      </w:r>
    </w:p>
    <w:p w14:paraId="30C9A547" w14:textId="77777777" w:rsidR="00CE7B34" w:rsidRPr="00F365CA" w:rsidRDefault="00CE7B34" w:rsidP="00F365CA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F365CA">
        <w:rPr>
          <w:rFonts w:ascii="Times New Roman" w:hAnsi="Times New Roman"/>
          <w:color w:val="000000"/>
          <w:sz w:val="24"/>
          <w:szCs w:val="24"/>
        </w:rPr>
        <w:t xml:space="preserve">Il medico, per sua funzione, informa compiutamente il paziente o chi lo rappresenta, con l’obiettivo di sviluppare una relazione di fiducia nell’affidamento alla cura, ma non agisce in assenza di consenso e in presenza di dissenso. In stato di necessità, il medico decide avendo in capo a sé la responsabilità della decisione clinica in base alla </w:t>
      </w: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posizione sostanziale di garanzia finalizzata a tutelare la persona malata e a non determinarne in alcun caso l’abbandono.</w:t>
      </w:r>
      <w:r w:rsidR="00C113DD">
        <w:rPr>
          <w:rStyle w:val="Rimandonotaapidipagina"/>
          <w:rFonts w:ascii="Times New Roman" w:eastAsia="Times New Roman" w:hAnsi="Times New Roman"/>
          <w:color w:val="000000"/>
          <w:sz w:val="24"/>
          <w:szCs w:val="24"/>
          <w:lang w:eastAsia="it-IT"/>
        </w:rPr>
        <w:footnoteReference w:id="15"/>
      </w:r>
      <w:r w:rsidRPr="00F365C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14:paraId="42D66C02" w14:textId="77777777" w:rsidR="00CE7B34" w:rsidRPr="00F365CA" w:rsidRDefault="00CE7B34" w:rsidP="00F365CA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it-IT"/>
        </w:rPr>
      </w:pPr>
    </w:p>
    <w:p w14:paraId="36FA730D" w14:textId="77777777" w:rsidR="00CE7B34" w:rsidRPr="00F365CA" w:rsidRDefault="00CE7B34" w:rsidP="00F365CA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411C89E5" w14:textId="77777777" w:rsidR="00CE7B34" w:rsidRPr="00F365CA" w:rsidRDefault="00CE7B34" w:rsidP="00DB5FE3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65C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365CA">
        <w:rPr>
          <w:rFonts w:ascii="Times New Roman" w:hAnsi="Times New Roman"/>
          <w:b/>
          <w:bCs/>
          <w:color w:val="000000"/>
          <w:sz w:val="24"/>
          <w:szCs w:val="24"/>
        </w:rPr>
        <w:t>Palliazione</w:t>
      </w:r>
      <w:proofErr w:type="spellEnd"/>
      <w:r w:rsidRPr="00F365C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EE2FDAA" w14:textId="77777777" w:rsidR="00CE7B34" w:rsidRDefault="00CE7B34" w:rsidP="00F365CA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65CA">
        <w:rPr>
          <w:rFonts w:ascii="Times New Roman" w:hAnsi="Times New Roman"/>
          <w:color w:val="000000"/>
          <w:sz w:val="24"/>
          <w:szCs w:val="24"/>
        </w:rPr>
        <w:t xml:space="preserve">All’impossibilità di erogare un determinato trattamento sanitario in </w:t>
      </w:r>
      <w:r w:rsidRPr="00F365CA">
        <w:rPr>
          <w:rFonts w:ascii="Times New Roman" w:hAnsi="Times New Roman"/>
          <w:sz w:val="24"/>
          <w:szCs w:val="24"/>
        </w:rPr>
        <w:t>condizioni eccezionali di squilibrio tra necessità e risorse disponibili,</w:t>
      </w:r>
      <w:r w:rsidRPr="00F365CA">
        <w:rPr>
          <w:rFonts w:ascii="Times New Roman" w:hAnsi="Times New Roman"/>
          <w:color w:val="000000"/>
          <w:sz w:val="24"/>
          <w:szCs w:val="24"/>
        </w:rPr>
        <w:t xml:space="preserve"> non può seguire l’abbandono terapeutico, dovendo il medico sempre provvedere, in considerazione della sua posizione di garanzia, a porre in atto le valutazioni e l’assistenza necessaria affinché l’eventuale progressione della patologia risulti il meno dolorosa</w:t>
      </w:r>
      <w:r w:rsidR="009676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65CA">
        <w:rPr>
          <w:rFonts w:ascii="Times New Roman" w:hAnsi="Times New Roman"/>
          <w:color w:val="000000"/>
          <w:sz w:val="24"/>
          <w:szCs w:val="24"/>
        </w:rPr>
        <w:t>possibile e soprattutto sia salvaguardata la dignità della persona, mediante un sostegno idoneo ad alleviarne le sofferenze fisiche, psichiche e spirituali</w:t>
      </w:r>
      <w:r w:rsidRPr="00F365CA">
        <w:rPr>
          <w:rStyle w:val="Rimandonotaapidipagina"/>
          <w:rFonts w:ascii="Times New Roman" w:hAnsi="Times New Roman"/>
          <w:color w:val="000000"/>
          <w:sz w:val="24"/>
          <w:szCs w:val="24"/>
        </w:rPr>
        <w:footnoteReference w:id="16"/>
      </w:r>
      <w:r w:rsidRPr="00F365C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52A5D0A" w14:textId="77777777" w:rsidR="00D35D7A" w:rsidRPr="00F365CA" w:rsidRDefault="00D35D7A" w:rsidP="00F365CA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403342" w14:textId="77777777" w:rsidR="00CE7B34" w:rsidRPr="00F365CA" w:rsidRDefault="00CE7B34" w:rsidP="00F365CA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FB30A9" w14:textId="77777777" w:rsidR="00CE7B34" w:rsidRPr="00F365CA" w:rsidRDefault="00CE7B34" w:rsidP="00DB5FE3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65CA">
        <w:rPr>
          <w:rFonts w:ascii="Times New Roman" w:hAnsi="Times New Roman"/>
          <w:b/>
          <w:bCs/>
          <w:color w:val="000000"/>
          <w:sz w:val="24"/>
          <w:szCs w:val="24"/>
        </w:rPr>
        <w:t xml:space="preserve"> Gli esiti incerti di cura </w:t>
      </w:r>
    </w:p>
    <w:p w14:paraId="01869A64" w14:textId="77777777" w:rsidR="005C40E8" w:rsidRDefault="00CE7B34" w:rsidP="003019B0">
      <w:pPr>
        <w:spacing w:after="0" w:line="240" w:lineRule="auto"/>
        <w:jc w:val="both"/>
      </w:pPr>
      <w:r w:rsidRPr="00F365CA">
        <w:rPr>
          <w:rFonts w:ascii="Times New Roman" w:hAnsi="Times New Roman"/>
          <w:color w:val="000000"/>
          <w:sz w:val="24"/>
          <w:szCs w:val="24"/>
        </w:rPr>
        <w:t xml:space="preserve">Anche al fine di una corretta comunicazione dello stato di salute al paziente critico, o ai suoi familiari o rappresentanti legali, è necessario tenere presente che le situazioni di incertezza prognostica sono tutt’altro che infrequenti e possono rendere giustificato l’avvio di trattamenti intensivi per valutarne l’efficacia nel singolo caso, sulla base dei criteri esplicitati </w:t>
      </w:r>
      <w:r w:rsidR="00D35D7A">
        <w:rPr>
          <w:rFonts w:ascii="Times New Roman" w:hAnsi="Times New Roman"/>
          <w:color w:val="000000"/>
          <w:sz w:val="24"/>
          <w:szCs w:val="24"/>
        </w:rPr>
        <w:t xml:space="preserve">nel punto </w:t>
      </w:r>
      <w:r w:rsidRPr="00F365CA">
        <w:rPr>
          <w:rFonts w:ascii="Times New Roman" w:hAnsi="Times New Roman"/>
          <w:color w:val="000000"/>
          <w:sz w:val="24"/>
          <w:szCs w:val="24"/>
        </w:rPr>
        <w:t xml:space="preserve">d.1. Ciò non è in alcun caso </w:t>
      </w:r>
      <w:r w:rsidR="00E27F1C">
        <w:rPr>
          <w:rFonts w:ascii="Times New Roman" w:hAnsi="Times New Roman"/>
          <w:color w:val="000000"/>
          <w:sz w:val="24"/>
          <w:szCs w:val="24"/>
        </w:rPr>
        <w:t>assimilabile a</w:t>
      </w:r>
      <w:r w:rsidRPr="00F365CA">
        <w:rPr>
          <w:rFonts w:ascii="Times New Roman" w:hAnsi="Times New Roman"/>
          <w:color w:val="000000"/>
          <w:sz w:val="24"/>
          <w:szCs w:val="24"/>
        </w:rPr>
        <w:t xml:space="preserve"> un “trial sperimentale” pur limitato nel tempo, ma rientra nelle cure ragionevolmente considerate proporzionate e finalizzate al risultato positivo, pur se incerto. Nel caso in cui il trattamento si dimostri inefficace, a fronte di una prognosi infausta a breve termine o di imminenza di morte, il medico deve astenersi dal ricorso a trattamenti inutili o sproporzio</w:t>
      </w:r>
      <w:r w:rsidRPr="006A1A82">
        <w:rPr>
          <w:rFonts w:ascii="Times New Roman" w:hAnsi="Times New Roman"/>
          <w:color w:val="000000"/>
          <w:sz w:val="24"/>
          <w:szCs w:val="24"/>
        </w:rPr>
        <w:t>nati</w:t>
      </w:r>
      <w:r w:rsidR="00701453">
        <w:rPr>
          <w:rStyle w:val="Rimandonotaapidipagina"/>
          <w:rFonts w:ascii="Times New Roman" w:hAnsi="Times New Roman"/>
          <w:color w:val="000000"/>
          <w:sz w:val="24"/>
          <w:szCs w:val="24"/>
        </w:rPr>
        <w:footnoteReference w:id="17"/>
      </w:r>
      <w:r w:rsidRPr="006A1A82">
        <w:rPr>
          <w:rFonts w:ascii="Times New Roman" w:hAnsi="Times New Roman"/>
          <w:color w:val="000000"/>
          <w:sz w:val="24"/>
          <w:szCs w:val="24"/>
        </w:rPr>
        <w:t>.</w:t>
      </w:r>
    </w:p>
    <w:sectPr w:rsidR="005C4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62570" w14:textId="77777777" w:rsidR="00EA1D51" w:rsidRDefault="00EA1D51" w:rsidP="00CE7B34">
      <w:pPr>
        <w:spacing w:after="0" w:line="240" w:lineRule="auto"/>
      </w:pPr>
      <w:r>
        <w:separator/>
      </w:r>
    </w:p>
  </w:endnote>
  <w:endnote w:type="continuationSeparator" w:id="0">
    <w:p w14:paraId="390A8E19" w14:textId="77777777" w:rsidR="00EA1D51" w:rsidRDefault="00EA1D51" w:rsidP="00CE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D9D63" w14:textId="77777777" w:rsidR="00EA1D51" w:rsidRDefault="00EA1D51" w:rsidP="00CE7B34">
      <w:pPr>
        <w:spacing w:after="0" w:line="240" w:lineRule="auto"/>
      </w:pPr>
      <w:r>
        <w:separator/>
      </w:r>
    </w:p>
  </w:footnote>
  <w:footnote w:type="continuationSeparator" w:id="0">
    <w:p w14:paraId="73C55191" w14:textId="77777777" w:rsidR="00EA1D51" w:rsidRDefault="00EA1D51" w:rsidP="00CE7B34">
      <w:pPr>
        <w:spacing w:after="0" w:line="240" w:lineRule="auto"/>
      </w:pPr>
      <w:r>
        <w:continuationSeparator/>
      </w:r>
    </w:p>
  </w:footnote>
  <w:footnote w:id="1">
    <w:p w14:paraId="673AF1A3" w14:textId="77777777" w:rsidR="00CE7B34" w:rsidRPr="00C113DD" w:rsidRDefault="00CE7B34" w:rsidP="00CE7B34">
      <w:pPr>
        <w:pStyle w:val="Testonotaapidipagina"/>
        <w:rPr>
          <w:sz w:val="18"/>
          <w:szCs w:val="18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</w:rPr>
        <w:t xml:space="preserve"> </w:t>
      </w:r>
      <w:r w:rsidR="00EE15F2" w:rsidRPr="00C113DD">
        <w:rPr>
          <w:sz w:val="18"/>
          <w:szCs w:val="18"/>
        </w:rPr>
        <w:t>Rif.</w:t>
      </w:r>
      <w:r w:rsidR="00EE15F2" w:rsidRPr="00C113DD">
        <w:rPr>
          <w:rFonts w:cs="Calibri"/>
          <w:sz w:val="18"/>
          <w:szCs w:val="18"/>
        </w:rPr>
        <w:t xml:space="preserve"> </w:t>
      </w:r>
      <w:hyperlink r:id="rId1" w:history="1">
        <w:r w:rsidR="00EE15F2" w:rsidRPr="00C113DD">
          <w:rPr>
            <w:rStyle w:val="Collegamentoipertestuale"/>
            <w:rFonts w:cs="Calibri"/>
            <w:color w:val="033160"/>
            <w:sz w:val="18"/>
            <w:szCs w:val="18"/>
          </w:rPr>
          <w:t>http://www.siaarti.it/SiteAssets/News/COVID19%20-%20documenti%20SIAARTI/SIAARTI%20-%20Covid19%20-%20Raccomandazioni%20di%20etica%20clinica.pdf</w:t>
        </w:r>
      </w:hyperlink>
    </w:p>
  </w:footnote>
  <w:footnote w:id="2">
    <w:p w14:paraId="5B54DC25" w14:textId="77777777" w:rsidR="00CE7B34" w:rsidRPr="00C113DD" w:rsidRDefault="00CE7B34" w:rsidP="00CE7B34">
      <w:pPr>
        <w:pStyle w:val="Testonotaapidipagina"/>
        <w:rPr>
          <w:sz w:val="18"/>
          <w:szCs w:val="18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</w:rPr>
        <w:t xml:space="preserve"> </w:t>
      </w:r>
      <w:r w:rsidRPr="00C113DD">
        <w:rPr>
          <w:sz w:val="18"/>
          <w:szCs w:val="18"/>
        </w:rPr>
        <w:t>Prima riunione 11 giugno 2020.</w:t>
      </w:r>
    </w:p>
    <w:p w14:paraId="618E60CA" w14:textId="77777777" w:rsidR="00CE7B34" w:rsidRPr="00C113DD" w:rsidRDefault="00CE7B34" w:rsidP="00CE7B34">
      <w:pPr>
        <w:pStyle w:val="Testonotaapidipagina"/>
        <w:rPr>
          <w:sz w:val="18"/>
          <w:szCs w:val="18"/>
        </w:rPr>
      </w:pPr>
    </w:p>
  </w:footnote>
  <w:footnote w:id="3">
    <w:p w14:paraId="2E240E0F" w14:textId="77777777" w:rsidR="00CE7B34" w:rsidRPr="00C113DD" w:rsidRDefault="00CE7B34" w:rsidP="00CE7B34">
      <w:pPr>
        <w:pStyle w:val="Testonotaapidipagina"/>
        <w:rPr>
          <w:sz w:val="18"/>
          <w:szCs w:val="18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</w:rPr>
        <w:t xml:space="preserve"> </w:t>
      </w:r>
      <w:r w:rsidRPr="00C113DD">
        <w:rPr>
          <w:sz w:val="18"/>
          <w:szCs w:val="18"/>
        </w:rPr>
        <w:t>Rif.</w:t>
      </w:r>
      <w:r w:rsidRPr="00C113DD">
        <w:rPr>
          <w:color w:val="000000"/>
          <w:sz w:val="18"/>
          <w:szCs w:val="18"/>
        </w:rPr>
        <w:t>CD 2014 artt. 16-18- 20 - 36-39</w:t>
      </w:r>
    </w:p>
  </w:footnote>
  <w:footnote w:id="4">
    <w:p w14:paraId="383C25C6" w14:textId="77777777" w:rsidR="00CE7B34" w:rsidRPr="00C113DD" w:rsidRDefault="00CE7B34" w:rsidP="00CE7B34">
      <w:pPr>
        <w:pStyle w:val="Testonotaapidipagina"/>
        <w:rPr>
          <w:sz w:val="18"/>
          <w:szCs w:val="18"/>
          <w:lang w:val="en-GB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  <w:lang w:val="en-GB"/>
        </w:rPr>
        <w:t xml:space="preserve"> Rif. CD 2014 art. 6</w:t>
      </w:r>
    </w:p>
  </w:footnote>
  <w:footnote w:id="5">
    <w:p w14:paraId="7681EBFA" w14:textId="77777777" w:rsidR="00CE7B34" w:rsidRPr="00C113DD" w:rsidRDefault="00CE7B34" w:rsidP="00CE7B34">
      <w:pPr>
        <w:pStyle w:val="Testonotaapidipagina"/>
        <w:rPr>
          <w:sz w:val="18"/>
          <w:szCs w:val="18"/>
          <w:lang w:val="en-GB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  <w:lang w:val="en-GB"/>
        </w:rPr>
        <w:t xml:space="preserve"> Rif. CD 2014 art.</w:t>
      </w:r>
      <w:r w:rsidR="003B5817">
        <w:rPr>
          <w:sz w:val="18"/>
          <w:szCs w:val="18"/>
          <w:lang w:val="en-GB"/>
        </w:rPr>
        <w:t xml:space="preserve"> </w:t>
      </w:r>
      <w:r w:rsidRPr="00C113DD">
        <w:rPr>
          <w:sz w:val="18"/>
          <w:szCs w:val="18"/>
          <w:lang w:val="en-GB"/>
        </w:rPr>
        <w:t>20</w:t>
      </w:r>
    </w:p>
  </w:footnote>
  <w:footnote w:id="6">
    <w:p w14:paraId="7146C7DC" w14:textId="77777777" w:rsidR="00CE7B34" w:rsidRPr="00C113DD" w:rsidRDefault="00CE7B34" w:rsidP="00CE7B34">
      <w:pPr>
        <w:pStyle w:val="Testonotaapidipagina"/>
        <w:rPr>
          <w:sz w:val="18"/>
          <w:szCs w:val="18"/>
          <w:lang w:val="en-GB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  <w:lang w:val="en-GB"/>
        </w:rPr>
        <w:t xml:space="preserve"> Rif. CD 2014 art.</w:t>
      </w:r>
      <w:r w:rsidR="003B5817">
        <w:rPr>
          <w:sz w:val="18"/>
          <w:szCs w:val="18"/>
          <w:lang w:val="en-GB"/>
        </w:rPr>
        <w:t xml:space="preserve"> </w:t>
      </w:r>
      <w:r w:rsidRPr="00C113DD">
        <w:rPr>
          <w:sz w:val="18"/>
          <w:szCs w:val="18"/>
          <w:lang w:val="en-GB"/>
        </w:rPr>
        <w:t>16 c.</w:t>
      </w:r>
      <w:r w:rsidR="003B5817">
        <w:rPr>
          <w:sz w:val="18"/>
          <w:szCs w:val="18"/>
          <w:lang w:val="en-GB"/>
        </w:rPr>
        <w:t xml:space="preserve"> </w:t>
      </w:r>
      <w:r w:rsidRPr="00C113DD">
        <w:rPr>
          <w:sz w:val="18"/>
          <w:szCs w:val="18"/>
          <w:lang w:val="en-GB"/>
        </w:rPr>
        <w:t>1-c.</w:t>
      </w:r>
      <w:r w:rsidR="003B5817">
        <w:rPr>
          <w:sz w:val="18"/>
          <w:szCs w:val="18"/>
          <w:lang w:val="en-GB"/>
        </w:rPr>
        <w:t xml:space="preserve"> </w:t>
      </w:r>
      <w:r w:rsidRPr="00C113DD">
        <w:rPr>
          <w:sz w:val="18"/>
          <w:szCs w:val="18"/>
          <w:lang w:val="en-GB"/>
        </w:rPr>
        <w:t>3</w:t>
      </w:r>
    </w:p>
  </w:footnote>
  <w:footnote w:id="7">
    <w:p w14:paraId="436E2E72" w14:textId="77777777" w:rsidR="00CE7B34" w:rsidRPr="00C113DD" w:rsidRDefault="00CE7B34" w:rsidP="00CE7B34">
      <w:pPr>
        <w:pStyle w:val="NormaleWeb"/>
        <w:shd w:val="clear" w:color="auto" w:fill="FFFFFF"/>
        <w:spacing w:before="0" w:beforeAutospacing="0" w:after="0" w:afterAutospacing="0" w:line="192" w:lineRule="auto"/>
        <w:rPr>
          <w:sz w:val="18"/>
          <w:szCs w:val="18"/>
        </w:rPr>
      </w:pPr>
      <w:r w:rsidRPr="00C113D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113DD">
        <w:rPr>
          <w:rFonts w:ascii="Calibri" w:hAnsi="Calibri" w:cs="Calibri"/>
          <w:sz w:val="18"/>
          <w:szCs w:val="18"/>
        </w:rPr>
        <w:t xml:space="preserve"> Rif. C.I. a</w:t>
      </w:r>
      <w:r w:rsidRPr="00C113DD">
        <w:rPr>
          <w:rFonts w:ascii="Calibri" w:hAnsi="Calibri" w:cs="Calibri"/>
          <w:color w:val="1C2024"/>
          <w:sz w:val="18"/>
          <w:szCs w:val="18"/>
        </w:rPr>
        <w:t xml:space="preserve">ll’art.32 della Costituzione: </w:t>
      </w:r>
      <w:r w:rsidRPr="00C113DD">
        <w:rPr>
          <w:rFonts w:ascii="Calibri" w:hAnsi="Calibri" w:cs="Calibri"/>
          <w:i/>
          <w:iCs/>
          <w:color w:val="1C2024"/>
          <w:sz w:val="18"/>
          <w:szCs w:val="18"/>
        </w:rPr>
        <w:t>"</w:t>
      </w:r>
      <w:smartTag w:uri="urn:schemas-microsoft-com:office:smarttags" w:element="PersonName">
        <w:smartTagPr>
          <w:attr w:name="ProductID" w:val="La Repubblica"/>
        </w:smartTagPr>
        <w:r w:rsidRPr="00C113DD">
          <w:rPr>
            <w:rFonts w:ascii="Calibri" w:hAnsi="Calibri" w:cs="Calibri"/>
            <w:i/>
            <w:iCs/>
            <w:color w:val="1C2024"/>
            <w:sz w:val="18"/>
            <w:szCs w:val="18"/>
          </w:rPr>
          <w:t>La Repubblica</w:t>
        </w:r>
      </w:smartTag>
      <w:r w:rsidRPr="00C113DD">
        <w:rPr>
          <w:rFonts w:ascii="Calibri" w:hAnsi="Calibri" w:cs="Calibri"/>
          <w:i/>
          <w:iCs/>
          <w:color w:val="1C2024"/>
          <w:sz w:val="18"/>
          <w:szCs w:val="18"/>
        </w:rPr>
        <w:t xml:space="preserve"> tutela la salute come fondamentale diritto dell'individuo e interesse della collettività, e garantisce cure gratuite agli indigenti. Nessuno può essere obbligato a un determinato trattamento sanitario se non per disposizione di legge. La legge non può in nessun caso violare i limiti imposti dal rispetto della persona umana</w:t>
      </w:r>
      <w:r w:rsidRPr="00C113DD">
        <w:rPr>
          <w:rFonts w:ascii="Calibri" w:hAnsi="Calibri" w:cs="Calibri"/>
          <w:color w:val="1C2024"/>
          <w:sz w:val="18"/>
          <w:szCs w:val="18"/>
        </w:rPr>
        <w:t>".</w:t>
      </w:r>
      <w:r w:rsidRPr="00C113DD">
        <w:rPr>
          <w:rFonts w:cs="Calibri"/>
          <w:color w:val="000000"/>
          <w:sz w:val="18"/>
          <w:szCs w:val="18"/>
        </w:rPr>
        <w:t xml:space="preserve"> </w:t>
      </w:r>
      <w:r w:rsidRPr="00C113DD">
        <w:rPr>
          <w:rFonts w:ascii="Calibri" w:hAnsi="Calibri" w:cs="Calibri"/>
          <w:color w:val="000000"/>
          <w:sz w:val="18"/>
          <w:szCs w:val="18"/>
        </w:rPr>
        <w:t>Rif</w:t>
      </w:r>
      <w:r w:rsidRPr="00C113DD">
        <w:rPr>
          <w:rFonts w:cs="Calibri"/>
          <w:color w:val="000000"/>
          <w:sz w:val="18"/>
          <w:szCs w:val="18"/>
        </w:rPr>
        <w:t>.</w:t>
      </w:r>
      <w:r w:rsidRPr="00C113DD">
        <w:rPr>
          <w:rFonts w:ascii="Calibri" w:hAnsi="Calibri" w:cs="Calibri"/>
          <w:color w:val="000000"/>
          <w:sz w:val="18"/>
          <w:szCs w:val="18"/>
        </w:rPr>
        <w:t>Art.3 CD, in piena sintonia con art.32 della Costituzione italiana</w:t>
      </w:r>
      <w:r w:rsidRPr="00C113DD">
        <w:rPr>
          <w:rFonts w:cs="Calibri"/>
          <w:color w:val="000000"/>
          <w:sz w:val="18"/>
          <w:szCs w:val="18"/>
        </w:rPr>
        <w:t>.</w:t>
      </w:r>
    </w:p>
  </w:footnote>
  <w:footnote w:id="8">
    <w:p w14:paraId="74F89810" w14:textId="77777777" w:rsidR="00CE7B34" w:rsidRPr="00C113DD" w:rsidRDefault="00CE7B34" w:rsidP="00CE7B34">
      <w:pPr>
        <w:pStyle w:val="Paragrafoelenco"/>
        <w:shd w:val="clear" w:color="auto" w:fill="FFFFFF"/>
        <w:spacing w:after="0" w:line="192" w:lineRule="auto"/>
        <w:ind w:left="0"/>
        <w:jc w:val="both"/>
        <w:rPr>
          <w:sz w:val="18"/>
          <w:szCs w:val="18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</w:rPr>
        <w:t xml:space="preserve"> </w:t>
      </w:r>
      <w:r w:rsidRPr="00C113DD">
        <w:rPr>
          <w:rFonts w:eastAsia="Times New Roman" w:cs="Calibri"/>
          <w:b/>
          <w:bCs/>
          <w:color w:val="000000"/>
          <w:sz w:val="18"/>
          <w:szCs w:val="18"/>
          <w:lang w:eastAsia="it-IT"/>
        </w:rPr>
        <w:t>I parametri non sono fondamentali e scriminativi da usarsi estemporaneamente</w:t>
      </w:r>
      <w:r w:rsidRPr="00C113DD">
        <w:rPr>
          <w:rFonts w:eastAsia="Times New Roman" w:cs="Calibri"/>
          <w:color w:val="000000"/>
          <w:sz w:val="18"/>
          <w:szCs w:val="18"/>
          <w:lang w:eastAsia="it-IT"/>
        </w:rPr>
        <w:t xml:space="preserve">, </w:t>
      </w:r>
      <w:r w:rsidRPr="00C113DD">
        <w:rPr>
          <w:rFonts w:eastAsia="Times New Roman" w:cs="Calibri"/>
          <w:b/>
          <w:bCs/>
          <w:color w:val="000000"/>
          <w:sz w:val="18"/>
          <w:szCs w:val="18"/>
          <w:lang w:eastAsia="it-IT"/>
        </w:rPr>
        <w:t>ma vanno considerati “in convergente concorrenza”</w:t>
      </w:r>
      <w:r w:rsidRPr="00C113DD">
        <w:rPr>
          <w:rFonts w:eastAsia="Times New Roman" w:cs="Calibri"/>
          <w:color w:val="000000"/>
          <w:sz w:val="18"/>
          <w:szCs w:val="18"/>
          <w:lang w:eastAsia="it-IT"/>
        </w:rPr>
        <w:t xml:space="preserve"> e in modo che ciascuno, ad esempio per l’età, </w:t>
      </w:r>
      <w:r w:rsidRPr="00C113DD">
        <w:rPr>
          <w:rFonts w:eastAsia="Times New Roman" w:cs="Calibri"/>
          <w:color w:val="000000"/>
          <w:sz w:val="18"/>
          <w:szCs w:val="18"/>
          <w:u w:val="single"/>
          <w:lang w:eastAsia="it-IT"/>
        </w:rPr>
        <w:t>non sia un principio che possa diventare “norma” assoluta ed esportabile in altro contesto e in differenti situazioni</w:t>
      </w:r>
      <w:r w:rsidRPr="00C113DD">
        <w:rPr>
          <w:rFonts w:eastAsia="Times New Roman" w:cs="Calibri"/>
          <w:color w:val="000000"/>
          <w:sz w:val="18"/>
          <w:szCs w:val="18"/>
          <w:lang w:eastAsia="it-IT"/>
        </w:rPr>
        <w:t xml:space="preserve">. </w:t>
      </w:r>
      <w:r w:rsidRPr="00C113DD">
        <w:rPr>
          <w:color w:val="000000"/>
          <w:sz w:val="18"/>
          <w:szCs w:val="18"/>
        </w:rPr>
        <w:t>In particolare, va considerato paritario il principio d’accesso alle cure in cui l’età biologica ed altre eventuali vulnerabilità concorrono alla valutazione degli elementi del giudizio clinico.</w:t>
      </w:r>
    </w:p>
  </w:footnote>
  <w:footnote w:id="9">
    <w:p w14:paraId="7FEE970B" w14:textId="77777777" w:rsidR="00701453" w:rsidRPr="00C113DD" w:rsidRDefault="00701453">
      <w:pPr>
        <w:pStyle w:val="Testonotaapidipagina"/>
        <w:rPr>
          <w:sz w:val="18"/>
          <w:szCs w:val="18"/>
          <w:lang w:val="en-GB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  <w:lang w:val="en-GB"/>
        </w:rPr>
        <w:t xml:space="preserve"> Rif.CD 2014 art. 13 c.</w:t>
      </w:r>
      <w:r w:rsidR="003B5817">
        <w:rPr>
          <w:sz w:val="18"/>
          <w:szCs w:val="18"/>
          <w:lang w:val="en-GB"/>
        </w:rPr>
        <w:t xml:space="preserve"> </w:t>
      </w:r>
      <w:r w:rsidRPr="00C113DD">
        <w:rPr>
          <w:sz w:val="18"/>
          <w:szCs w:val="18"/>
          <w:lang w:val="en-GB"/>
        </w:rPr>
        <w:t>1</w:t>
      </w:r>
    </w:p>
  </w:footnote>
  <w:footnote w:id="10">
    <w:p w14:paraId="7F257D4C" w14:textId="77777777" w:rsidR="00CE7B34" w:rsidRPr="00C113DD" w:rsidRDefault="00CE7B34" w:rsidP="00CE7B34">
      <w:pPr>
        <w:pStyle w:val="Testonotaapidipagina"/>
        <w:rPr>
          <w:sz w:val="18"/>
          <w:szCs w:val="18"/>
          <w:lang w:val="en-GB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  <w:lang w:val="en-GB"/>
        </w:rPr>
        <w:t xml:space="preserve"> Rif. CD 2014 art.</w:t>
      </w:r>
      <w:r w:rsidR="003B5817">
        <w:rPr>
          <w:sz w:val="18"/>
          <w:szCs w:val="18"/>
          <w:lang w:val="en-GB"/>
        </w:rPr>
        <w:t xml:space="preserve"> </w:t>
      </w:r>
      <w:r w:rsidRPr="00C113DD">
        <w:rPr>
          <w:sz w:val="18"/>
          <w:szCs w:val="18"/>
          <w:lang w:val="en-GB"/>
        </w:rPr>
        <w:t>35 c.</w:t>
      </w:r>
      <w:r w:rsidR="003B5817">
        <w:rPr>
          <w:sz w:val="18"/>
          <w:szCs w:val="18"/>
          <w:lang w:val="en-GB"/>
        </w:rPr>
        <w:t xml:space="preserve"> </w:t>
      </w:r>
      <w:r w:rsidRPr="00C113DD">
        <w:rPr>
          <w:sz w:val="18"/>
          <w:szCs w:val="18"/>
          <w:lang w:val="en-GB"/>
        </w:rPr>
        <w:t>1-2</w:t>
      </w:r>
    </w:p>
  </w:footnote>
  <w:footnote w:id="11">
    <w:p w14:paraId="5C44D9FF" w14:textId="77777777" w:rsidR="00CE7B34" w:rsidRPr="00C113DD" w:rsidRDefault="00CE7B34" w:rsidP="00CE7B34">
      <w:pPr>
        <w:pStyle w:val="Testonotaapidipagina"/>
        <w:rPr>
          <w:sz w:val="18"/>
          <w:szCs w:val="18"/>
          <w:lang w:val="en-GB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  <w:lang w:val="en-GB"/>
        </w:rPr>
        <w:t xml:space="preserve">  Rif. CD 2014 </w:t>
      </w:r>
      <w:proofErr w:type="spellStart"/>
      <w:r w:rsidRPr="00C113DD">
        <w:rPr>
          <w:sz w:val="18"/>
          <w:szCs w:val="18"/>
          <w:lang w:val="en-GB"/>
        </w:rPr>
        <w:t>artt</w:t>
      </w:r>
      <w:proofErr w:type="spellEnd"/>
      <w:r w:rsidRPr="00C113DD">
        <w:rPr>
          <w:sz w:val="18"/>
          <w:szCs w:val="18"/>
          <w:lang w:val="en-GB"/>
        </w:rPr>
        <w:t>.</w:t>
      </w:r>
      <w:r w:rsidR="003B5817">
        <w:rPr>
          <w:sz w:val="18"/>
          <w:szCs w:val="18"/>
          <w:lang w:val="en-GB"/>
        </w:rPr>
        <w:t xml:space="preserve"> </w:t>
      </w:r>
      <w:r w:rsidRPr="00C113DD">
        <w:rPr>
          <w:sz w:val="18"/>
          <w:szCs w:val="18"/>
          <w:lang w:val="en-GB"/>
        </w:rPr>
        <w:t>36-37</w:t>
      </w:r>
    </w:p>
  </w:footnote>
  <w:footnote w:id="12">
    <w:p w14:paraId="586C028C" w14:textId="77777777" w:rsidR="00C113DD" w:rsidRPr="00C113DD" w:rsidRDefault="00C113DD">
      <w:pPr>
        <w:pStyle w:val="Testonotaapidipagina"/>
        <w:rPr>
          <w:sz w:val="18"/>
          <w:szCs w:val="18"/>
          <w:lang w:val="en-GB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  <w:lang w:val="en-GB"/>
        </w:rPr>
        <w:t xml:space="preserve"> RIF CD 2014 art.</w:t>
      </w:r>
      <w:r w:rsidR="003B5817">
        <w:rPr>
          <w:sz w:val="18"/>
          <w:szCs w:val="18"/>
          <w:lang w:val="en-GB"/>
        </w:rPr>
        <w:t xml:space="preserve"> </w:t>
      </w:r>
      <w:r w:rsidRPr="00C113DD">
        <w:rPr>
          <w:sz w:val="18"/>
          <w:szCs w:val="18"/>
          <w:lang w:val="en-GB"/>
        </w:rPr>
        <w:t>38</w:t>
      </w:r>
    </w:p>
  </w:footnote>
  <w:footnote w:id="13">
    <w:p w14:paraId="42AA98D0" w14:textId="77777777" w:rsidR="00CE7B34" w:rsidRPr="00C113DD" w:rsidRDefault="00CE7B34" w:rsidP="00CE7B34">
      <w:pPr>
        <w:pStyle w:val="Testonotaapidipagina"/>
        <w:rPr>
          <w:strike/>
          <w:sz w:val="18"/>
          <w:szCs w:val="18"/>
          <w:lang w:val="en-GB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  <w:lang w:val="en-GB"/>
        </w:rPr>
        <w:t xml:space="preserve"> Rif. </w:t>
      </w:r>
      <w:r w:rsidRPr="00C113DD">
        <w:rPr>
          <w:color w:val="000000"/>
          <w:sz w:val="18"/>
          <w:szCs w:val="18"/>
          <w:lang w:val="en-GB"/>
        </w:rPr>
        <w:t xml:space="preserve">CD 2014 </w:t>
      </w:r>
      <w:proofErr w:type="spellStart"/>
      <w:r w:rsidRPr="00C113DD">
        <w:rPr>
          <w:color w:val="000000"/>
          <w:sz w:val="18"/>
          <w:szCs w:val="18"/>
          <w:lang w:val="en-GB"/>
        </w:rPr>
        <w:t>artt</w:t>
      </w:r>
      <w:proofErr w:type="spellEnd"/>
      <w:r w:rsidRPr="00C113DD">
        <w:rPr>
          <w:color w:val="000000"/>
          <w:sz w:val="18"/>
          <w:szCs w:val="18"/>
          <w:lang w:val="en-GB"/>
        </w:rPr>
        <w:t>.</w:t>
      </w:r>
      <w:r w:rsidR="003B5817">
        <w:rPr>
          <w:color w:val="000000"/>
          <w:sz w:val="18"/>
          <w:szCs w:val="18"/>
          <w:lang w:val="en-GB"/>
        </w:rPr>
        <w:t xml:space="preserve"> </w:t>
      </w:r>
      <w:r w:rsidRPr="00C113DD">
        <w:rPr>
          <w:color w:val="000000"/>
          <w:sz w:val="18"/>
          <w:szCs w:val="18"/>
          <w:lang w:val="en-GB"/>
        </w:rPr>
        <w:t>33</w:t>
      </w:r>
      <w:r w:rsidRPr="00B54553">
        <w:rPr>
          <w:strike/>
          <w:color w:val="000000"/>
          <w:sz w:val="18"/>
          <w:szCs w:val="18"/>
          <w:lang w:val="en-GB"/>
        </w:rPr>
        <w:t>-</w:t>
      </w:r>
      <w:r w:rsidRPr="00B54553">
        <w:rPr>
          <w:color w:val="000000"/>
          <w:sz w:val="18"/>
          <w:szCs w:val="18"/>
          <w:lang w:val="en-GB"/>
        </w:rPr>
        <w:t>34</w:t>
      </w:r>
    </w:p>
  </w:footnote>
  <w:footnote w:id="14">
    <w:p w14:paraId="25B5493E" w14:textId="77777777" w:rsidR="00CE7B34" w:rsidRPr="00C113DD" w:rsidRDefault="00CE7B34" w:rsidP="00CE7B34">
      <w:pPr>
        <w:pStyle w:val="Testonotaapidipagina"/>
        <w:rPr>
          <w:sz w:val="18"/>
          <w:szCs w:val="18"/>
          <w:lang w:val="en-GB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  <w:lang w:val="en-GB"/>
        </w:rPr>
        <w:t xml:space="preserve"> Rif. CD 2014 </w:t>
      </w:r>
      <w:proofErr w:type="spellStart"/>
      <w:r w:rsidRPr="00C113DD">
        <w:rPr>
          <w:sz w:val="18"/>
          <w:szCs w:val="18"/>
          <w:lang w:val="en-GB"/>
        </w:rPr>
        <w:t>artt</w:t>
      </w:r>
      <w:proofErr w:type="spellEnd"/>
      <w:r w:rsidRPr="00C113DD">
        <w:rPr>
          <w:sz w:val="18"/>
          <w:szCs w:val="18"/>
          <w:lang w:val="en-GB"/>
        </w:rPr>
        <w:t>.</w:t>
      </w:r>
      <w:r w:rsidR="003B5817">
        <w:rPr>
          <w:sz w:val="18"/>
          <w:szCs w:val="18"/>
          <w:lang w:val="en-GB"/>
        </w:rPr>
        <w:t xml:space="preserve"> </w:t>
      </w:r>
      <w:r w:rsidRPr="00C113DD">
        <w:rPr>
          <w:sz w:val="18"/>
          <w:szCs w:val="18"/>
          <w:lang w:val="en-GB"/>
        </w:rPr>
        <w:t>33-34-35</w:t>
      </w:r>
    </w:p>
  </w:footnote>
  <w:footnote w:id="15">
    <w:p w14:paraId="36C795A8" w14:textId="77777777" w:rsidR="00C113DD" w:rsidRPr="00C113DD" w:rsidRDefault="00C113DD">
      <w:pPr>
        <w:pStyle w:val="Testonotaapidipagina"/>
        <w:rPr>
          <w:sz w:val="18"/>
          <w:szCs w:val="18"/>
          <w:lang w:val="en-GB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  <w:lang w:val="en-GB"/>
        </w:rPr>
        <w:t xml:space="preserve"> Rif.CD 214 art.</w:t>
      </w:r>
      <w:r w:rsidR="003B5817">
        <w:rPr>
          <w:sz w:val="18"/>
          <w:szCs w:val="18"/>
          <w:lang w:val="en-GB"/>
        </w:rPr>
        <w:t xml:space="preserve"> </w:t>
      </w:r>
      <w:r w:rsidRPr="00C113DD">
        <w:rPr>
          <w:sz w:val="18"/>
          <w:szCs w:val="18"/>
          <w:lang w:val="en-GB"/>
        </w:rPr>
        <w:t>39</w:t>
      </w:r>
    </w:p>
  </w:footnote>
  <w:footnote w:id="16">
    <w:p w14:paraId="21C52879" w14:textId="77777777" w:rsidR="00CE7B34" w:rsidRPr="00C113DD" w:rsidRDefault="00CE7B34" w:rsidP="00CE7B34">
      <w:pPr>
        <w:pStyle w:val="Testonotaapidipagina"/>
        <w:rPr>
          <w:sz w:val="18"/>
          <w:szCs w:val="18"/>
          <w:lang w:val="en-GB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  <w:lang w:val="en-GB"/>
        </w:rPr>
        <w:t xml:space="preserve"> Rif. CD 2014: </w:t>
      </w:r>
      <w:proofErr w:type="spellStart"/>
      <w:r w:rsidRPr="00C113DD">
        <w:rPr>
          <w:rFonts w:cs="Calibri"/>
          <w:color w:val="000000"/>
          <w:sz w:val="18"/>
          <w:szCs w:val="18"/>
          <w:lang w:val="en-GB"/>
        </w:rPr>
        <w:t>artt</w:t>
      </w:r>
      <w:proofErr w:type="spellEnd"/>
      <w:r w:rsidRPr="00C113DD">
        <w:rPr>
          <w:rFonts w:cs="Calibri"/>
          <w:color w:val="000000"/>
          <w:sz w:val="18"/>
          <w:szCs w:val="18"/>
          <w:lang w:val="en-GB"/>
        </w:rPr>
        <w:t>.</w:t>
      </w:r>
      <w:r w:rsidR="003B5817">
        <w:rPr>
          <w:rFonts w:cs="Calibri"/>
          <w:color w:val="000000"/>
          <w:sz w:val="18"/>
          <w:szCs w:val="18"/>
          <w:lang w:val="en-GB"/>
        </w:rPr>
        <w:t xml:space="preserve"> </w:t>
      </w:r>
      <w:r w:rsidRPr="00C113DD">
        <w:rPr>
          <w:rFonts w:cs="Calibri"/>
          <w:color w:val="000000"/>
          <w:sz w:val="18"/>
          <w:szCs w:val="18"/>
          <w:lang w:val="en-GB"/>
        </w:rPr>
        <w:t>3-8-13</w:t>
      </w:r>
      <w:r w:rsidR="00354D8F">
        <w:rPr>
          <w:rFonts w:cs="Calibri"/>
          <w:color w:val="000000"/>
          <w:sz w:val="18"/>
          <w:szCs w:val="18"/>
          <w:lang w:val="en-GB"/>
        </w:rPr>
        <w:t xml:space="preserve"> c.7</w:t>
      </w:r>
      <w:r w:rsidRPr="00C113DD">
        <w:rPr>
          <w:rFonts w:cs="Calibri"/>
          <w:color w:val="000000"/>
          <w:sz w:val="18"/>
          <w:szCs w:val="18"/>
          <w:lang w:val="en-GB"/>
        </w:rPr>
        <w:t>-16-18</w:t>
      </w:r>
      <w:r w:rsidR="0096765B">
        <w:rPr>
          <w:rFonts w:cs="Calibri"/>
          <w:color w:val="000000"/>
          <w:sz w:val="18"/>
          <w:szCs w:val="18"/>
          <w:lang w:val="en-GB"/>
        </w:rPr>
        <w:t>-</w:t>
      </w:r>
      <w:r w:rsidRPr="00C113DD">
        <w:rPr>
          <w:rFonts w:cs="Calibri"/>
          <w:color w:val="000000"/>
          <w:sz w:val="18"/>
          <w:szCs w:val="18"/>
          <w:lang w:val="en-GB"/>
        </w:rPr>
        <w:t>39</w:t>
      </w:r>
    </w:p>
  </w:footnote>
  <w:footnote w:id="17">
    <w:p w14:paraId="23AE66A7" w14:textId="77777777" w:rsidR="00701453" w:rsidRPr="00C113DD" w:rsidRDefault="00701453">
      <w:pPr>
        <w:pStyle w:val="Testonotaapidipagina"/>
        <w:rPr>
          <w:sz w:val="18"/>
          <w:szCs w:val="18"/>
          <w:lang w:val="en-GB"/>
        </w:rPr>
      </w:pPr>
      <w:r w:rsidRPr="00C113DD">
        <w:rPr>
          <w:rStyle w:val="Rimandonotaapidipagina"/>
          <w:sz w:val="18"/>
          <w:szCs w:val="18"/>
        </w:rPr>
        <w:footnoteRef/>
      </w:r>
      <w:r w:rsidRPr="00C113DD">
        <w:rPr>
          <w:sz w:val="18"/>
          <w:szCs w:val="18"/>
          <w:lang w:val="en-GB"/>
        </w:rPr>
        <w:t xml:space="preserve"> Rif. CD 2014 art. 16 c.1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8180F"/>
    <w:multiLevelType w:val="hybridMultilevel"/>
    <w:tmpl w:val="3022DAA6"/>
    <w:lvl w:ilvl="0" w:tplc="658417E6">
      <w:start w:val="5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D7F11"/>
    <w:multiLevelType w:val="hybridMultilevel"/>
    <w:tmpl w:val="7DDCEDB0"/>
    <w:lvl w:ilvl="0" w:tplc="B50659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C38F7"/>
    <w:multiLevelType w:val="hybridMultilevel"/>
    <w:tmpl w:val="048CCA2E"/>
    <w:lvl w:ilvl="0" w:tplc="3C9A4BB0">
      <w:start w:val="4"/>
      <w:numFmt w:val="lowerLetter"/>
      <w:lvlText w:val="%1-"/>
      <w:lvlJc w:val="left"/>
      <w:pPr>
        <w:ind w:left="720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B34"/>
    <w:rsid w:val="00097E85"/>
    <w:rsid w:val="00155D10"/>
    <w:rsid w:val="00193E57"/>
    <w:rsid w:val="002C0796"/>
    <w:rsid w:val="003019B0"/>
    <w:rsid w:val="00354D8F"/>
    <w:rsid w:val="00360EF8"/>
    <w:rsid w:val="003B5817"/>
    <w:rsid w:val="003F794F"/>
    <w:rsid w:val="0044437B"/>
    <w:rsid w:val="005C40E8"/>
    <w:rsid w:val="00701453"/>
    <w:rsid w:val="00737DDD"/>
    <w:rsid w:val="007608AC"/>
    <w:rsid w:val="00843EDE"/>
    <w:rsid w:val="00894096"/>
    <w:rsid w:val="009423D3"/>
    <w:rsid w:val="0094543C"/>
    <w:rsid w:val="00953ABB"/>
    <w:rsid w:val="00955827"/>
    <w:rsid w:val="0096765B"/>
    <w:rsid w:val="00A03250"/>
    <w:rsid w:val="00A23012"/>
    <w:rsid w:val="00B54553"/>
    <w:rsid w:val="00B6766E"/>
    <w:rsid w:val="00BA0B32"/>
    <w:rsid w:val="00C113DD"/>
    <w:rsid w:val="00C159CA"/>
    <w:rsid w:val="00C6775A"/>
    <w:rsid w:val="00CE7B34"/>
    <w:rsid w:val="00D24FA9"/>
    <w:rsid w:val="00D35D7A"/>
    <w:rsid w:val="00D5109E"/>
    <w:rsid w:val="00D90CBE"/>
    <w:rsid w:val="00DB5FE3"/>
    <w:rsid w:val="00E27F1C"/>
    <w:rsid w:val="00E86EEE"/>
    <w:rsid w:val="00EA1D51"/>
    <w:rsid w:val="00ED4849"/>
    <w:rsid w:val="00EE15F2"/>
    <w:rsid w:val="00F365CA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0DBB4FB6"/>
  <w15:chartTrackingRefBased/>
  <w15:docId w15:val="{CB18EE53-92A8-4D89-AFA2-22A5D2D1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3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7B3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E7B3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CE7B34"/>
    <w:rPr>
      <w:vertAlign w:val="superscript"/>
    </w:rPr>
  </w:style>
  <w:style w:type="character" w:styleId="Collegamentoipertestuale">
    <w:name w:val="Hyperlink"/>
    <w:uiPriority w:val="99"/>
    <w:unhideWhenUsed/>
    <w:rsid w:val="00CE7B3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CE7B3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E7B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65CA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365C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365CA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365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aarti.it/SiteAssets/News/COVID19%20-%20documenti%20SIAARTI/SIAARTI%20-%20Covid19%20-%20Raccomandazioni%20di%20etica%20clinic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D284-43EB-4147-A576-B4E72889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Links>
    <vt:vector size="6" baseType="variant"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http://www.siaarti.it/SiteAssets/News/COVID19 - documenti SIAARTI/SIAARTI - Covid19 - Raccomandazioni di etica clinica.pdf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Pompeo</dc:creator>
  <cp:keywords/>
  <dc:description/>
  <cp:lastModifiedBy>Michela Molinari</cp:lastModifiedBy>
  <cp:revision>2</cp:revision>
  <dcterms:created xsi:type="dcterms:W3CDTF">2020-10-30T09:44:00Z</dcterms:created>
  <dcterms:modified xsi:type="dcterms:W3CDTF">2020-10-30T09:44:00Z</dcterms:modified>
</cp:coreProperties>
</file>